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46DE8" w:rsidR="00600E00" w:rsidP="147B66D1" w:rsidRDefault="0304F828" w14:paraId="165D3909" w14:textId="01B14000">
      <w:pPr>
        <w:pStyle w:val="Normal"/>
        <w:spacing w:after="120"/>
        <w:jc w:val="left"/>
        <w:rPr>
          <w:rFonts w:ascii="FoundrySterling-Medium" w:hAnsi="FoundrySterling-Medium" w:eastAsia="Calibri" w:cs="Calibri"/>
          <w:b w:val="1"/>
          <w:bCs w:val="1"/>
          <w:color w:val="000000" w:themeColor="text1" w:themeTint="FF" w:themeShade="FF"/>
          <w:u w:val="single"/>
        </w:rPr>
      </w:pPr>
      <w:r w:rsidR="3E373A49">
        <w:drawing>
          <wp:inline wp14:editId="668E1418" wp14:anchorId="756C6302">
            <wp:extent cx="4220308" cy="1257300"/>
            <wp:effectExtent l="0" t="0" r="0" b="0"/>
            <wp:docPr id="230557770" name="" title=""/>
            <wp:cNvGraphicFramePr>
              <a:graphicFrameLocks noChangeAspect="1"/>
            </wp:cNvGraphicFramePr>
            <a:graphic>
              <a:graphicData uri="http://schemas.openxmlformats.org/drawingml/2006/picture">
                <pic:pic>
                  <pic:nvPicPr>
                    <pic:cNvPr id="0" name=""/>
                    <pic:cNvPicPr/>
                  </pic:nvPicPr>
                  <pic:blipFill>
                    <a:blip r:embed="Rc772dfd5793e4b59">
                      <a:extLst>
                        <a:ext xmlns:a="http://schemas.openxmlformats.org/drawingml/2006/main" uri="{28A0092B-C50C-407E-A947-70E740481C1C}">
                          <a14:useLocalDpi val="0"/>
                        </a:ext>
                      </a:extLst>
                    </a:blip>
                    <a:stretch>
                      <a:fillRect/>
                    </a:stretch>
                  </pic:blipFill>
                  <pic:spPr>
                    <a:xfrm>
                      <a:off x="0" y="0"/>
                      <a:ext cx="4220308" cy="1257300"/>
                    </a:xfrm>
                    <a:prstGeom prst="rect">
                      <a:avLst/>
                    </a:prstGeom>
                  </pic:spPr>
                </pic:pic>
              </a:graphicData>
            </a:graphic>
          </wp:inline>
        </w:drawing>
      </w:r>
      <w:r w:rsidR="3E373A49">
        <w:drawing>
          <wp:inline wp14:editId="4234D7E4" wp14:anchorId="318C8186">
            <wp:extent cx="1181100" cy="1181100"/>
            <wp:effectExtent l="0" t="0" r="0" b="0"/>
            <wp:docPr id="2046379836" name="" title=""/>
            <wp:cNvGraphicFramePr>
              <a:graphicFrameLocks noChangeAspect="1"/>
            </wp:cNvGraphicFramePr>
            <a:graphic>
              <a:graphicData uri="http://schemas.openxmlformats.org/drawingml/2006/picture">
                <pic:pic>
                  <pic:nvPicPr>
                    <pic:cNvPr id="0" name=""/>
                    <pic:cNvPicPr/>
                  </pic:nvPicPr>
                  <pic:blipFill>
                    <a:blip r:embed="Rd98f7abc794a4314">
                      <a:extLst>
                        <a:ext xmlns:a="http://schemas.openxmlformats.org/drawingml/2006/main" uri="{28A0092B-C50C-407E-A947-70E740481C1C}">
                          <a14:useLocalDpi val="0"/>
                        </a:ext>
                      </a:extLst>
                    </a:blip>
                    <a:stretch>
                      <a:fillRect/>
                    </a:stretch>
                  </pic:blipFill>
                  <pic:spPr>
                    <a:xfrm>
                      <a:off x="0" y="0"/>
                      <a:ext cx="1181100" cy="1181100"/>
                    </a:xfrm>
                    <a:prstGeom prst="rect">
                      <a:avLst/>
                    </a:prstGeom>
                  </pic:spPr>
                </pic:pic>
              </a:graphicData>
            </a:graphic>
          </wp:inline>
        </w:drawing>
      </w:r>
    </w:p>
    <w:p w:rsidRPr="00F46DE8" w:rsidR="00600E00" w:rsidP="147B66D1" w:rsidRDefault="0304F828" w14:paraId="1BDDEA65" w14:textId="49A9DB01">
      <w:pPr>
        <w:pStyle w:val="Normal"/>
        <w:spacing w:after="120"/>
        <w:rPr>
          <w:rFonts w:ascii="FoundrySterling-Medium" w:hAnsi="FoundrySterling-Medium" w:eastAsia="Calibri" w:cs="Calibri"/>
          <w:b w:val="1"/>
          <w:bCs w:val="1"/>
          <w:color w:val="000000" w:themeColor="text1"/>
          <w:sz w:val="24"/>
          <w:szCs w:val="24"/>
          <w:u w:val="none"/>
        </w:rPr>
      </w:pPr>
      <w:r w:rsidRPr="147B66D1" w:rsidR="5504957B">
        <w:rPr>
          <w:rFonts w:ascii="FoundrySterling-Medium" w:hAnsi="FoundrySterling-Medium" w:eastAsia="Calibri" w:cs="Calibri"/>
          <w:b w:val="1"/>
          <w:bCs w:val="1"/>
          <w:color w:val="000000" w:themeColor="text1" w:themeTint="FF" w:themeShade="FF"/>
          <w:sz w:val="24"/>
          <w:szCs w:val="24"/>
          <w:u w:val="none"/>
        </w:rPr>
        <w:t>Further Information</w:t>
      </w:r>
      <w:r w:rsidRPr="147B66D1" w:rsidR="5504957B">
        <w:rPr>
          <w:rFonts w:ascii="FoundrySterling-Medium" w:hAnsi="FoundrySterling-Medium" w:eastAsia="Calibri" w:cs="Calibri"/>
          <w:b w:val="1"/>
          <w:bCs w:val="1"/>
          <w:color w:val="000000" w:themeColor="text1" w:themeTint="FF" w:themeShade="FF"/>
          <w:sz w:val="24"/>
          <w:szCs w:val="24"/>
          <w:u w:val="none"/>
        </w:rPr>
        <w:t xml:space="preserve"> </w:t>
      </w:r>
      <w:r w:rsidRPr="147B66D1" w:rsidR="5504957B">
        <w:rPr>
          <w:rFonts w:ascii="FoundrySterling-Medium" w:hAnsi="FoundrySterling-Medium" w:eastAsia="Calibri" w:cs="Calibri"/>
          <w:b w:val="1"/>
          <w:bCs w:val="1"/>
          <w:color w:val="000000" w:themeColor="text1" w:themeTint="FF" w:themeShade="FF"/>
          <w:sz w:val="24"/>
          <w:szCs w:val="24"/>
          <w:u w:val="none"/>
        </w:rPr>
        <w:t xml:space="preserve">about the Community Workshop with The Public and Community Engagement with Research Team, </w:t>
      </w:r>
      <w:r w:rsidRPr="147B66D1" w:rsidR="5504957B">
        <w:rPr>
          <w:rFonts w:ascii="FoundrySterling-Medium" w:hAnsi="FoundrySterling-Medium" w:eastAsia="Calibri" w:cs="Calibri"/>
          <w:b w:val="1"/>
          <w:bCs w:val="1"/>
          <w:color w:val="000000" w:themeColor="text1" w:themeTint="FF" w:themeShade="FF"/>
          <w:sz w:val="24"/>
          <w:szCs w:val="24"/>
          <w:u w:val="none"/>
        </w:rPr>
        <w:t>Paymen</w:t>
      </w:r>
      <w:r w:rsidRPr="147B66D1" w:rsidR="5504957B">
        <w:rPr>
          <w:rFonts w:ascii="FoundrySterling-Medium" w:hAnsi="FoundrySterling-Medium" w:eastAsia="Calibri" w:cs="Calibri"/>
          <w:b w:val="1"/>
          <w:bCs w:val="1"/>
          <w:color w:val="000000" w:themeColor="text1" w:themeTint="FF" w:themeShade="FF"/>
          <w:sz w:val="24"/>
          <w:szCs w:val="24"/>
          <w:u w:val="none"/>
        </w:rPr>
        <w:t>t</w:t>
      </w:r>
      <w:r w:rsidRPr="147B66D1" w:rsidR="5504957B">
        <w:rPr>
          <w:rFonts w:ascii="FoundrySterling-Medium" w:hAnsi="FoundrySterling-Medium" w:eastAsia="Calibri" w:cs="Calibri"/>
          <w:b w:val="1"/>
          <w:bCs w:val="1"/>
          <w:color w:val="000000" w:themeColor="text1" w:themeTint="FF" w:themeShade="FF"/>
          <w:sz w:val="24"/>
          <w:szCs w:val="24"/>
          <w:u w:val="none"/>
        </w:rPr>
        <w:t xml:space="preserve"> and E</w:t>
      </w:r>
      <w:r w:rsidRPr="147B66D1" w:rsidR="5504957B">
        <w:rPr>
          <w:rFonts w:ascii="FoundrySterling-Medium" w:hAnsi="FoundrySterling-Medium" w:eastAsia="Calibri" w:cs="Calibri"/>
          <w:b w:val="1"/>
          <w:bCs w:val="1"/>
          <w:color w:val="000000" w:themeColor="text1" w:themeTint="FF" w:themeShade="FF"/>
          <w:sz w:val="24"/>
          <w:szCs w:val="24"/>
          <w:u w:val="none"/>
        </w:rPr>
        <w:t>xpenses</w:t>
      </w:r>
      <w:r w:rsidRPr="147B66D1" w:rsidR="5504957B">
        <w:rPr>
          <w:rFonts w:ascii="FoundrySterling-Medium" w:hAnsi="FoundrySterling-Medium" w:eastAsia="Calibri" w:cs="Calibri"/>
          <w:b w:val="1"/>
          <w:bCs w:val="1"/>
          <w:color w:val="000000" w:themeColor="text1" w:themeTint="FF" w:themeShade="FF"/>
          <w:sz w:val="24"/>
          <w:szCs w:val="24"/>
        </w:rPr>
        <w:t xml:space="preserve"> </w:t>
      </w:r>
    </w:p>
    <w:p w:rsidR="147B66D1" w:rsidP="147B66D1" w:rsidRDefault="147B66D1" w14:paraId="2D98664A" w14:textId="16FD9E88">
      <w:pPr>
        <w:pStyle w:val="Normal"/>
        <w:spacing w:after="120"/>
        <w:rPr>
          <w:rFonts w:ascii="FoundrySterling-Medium" w:hAnsi="FoundrySterling-Medium" w:eastAsia="Calibri" w:cs="Calibri"/>
          <w:b w:val="1"/>
          <w:bCs w:val="1"/>
          <w:color w:val="000000" w:themeColor="text1" w:themeTint="FF" w:themeShade="FF"/>
          <w:sz w:val="24"/>
          <w:szCs w:val="24"/>
        </w:rPr>
      </w:pPr>
    </w:p>
    <w:p w:rsidR="2883E399" w:rsidP="147B66D1" w:rsidRDefault="2883E399" w14:paraId="7EEAA217" w14:textId="7E2C5021">
      <w:pPr>
        <w:spacing w:after="0" w:afterAutospacing="off"/>
        <w:rPr>
          <w:rFonts w:ascii="FoundrySterling-Medium" w:hAnsi="FoundrySterling-Medium" w:eastAsia="Calibri" w:cs="Calibri"/>
          <w:color w:val="000000" w:themeColor="text1" w:themeTint="FF" w:themeShade="FF"/>
        </w:rPr>
      </w:pPr>
      <w:r w:rsidRPr="147B66D1" w:rsidR="2883E399">
        <w:rPr>
          <w:rFonts w:ascii="FoundrySterling-Medium" w:hAnsi="FoundrySterling-Medium" w:eastAsia="Calibri" w:cs="Calibri"/>
          <w:color w:val="000000" w:themeColor="text1" w:themeTint="FF" w:themeShade="FF"/>
        </w:rPr>
        <w:t>For the workshop that will take place on 4 July 2023, w</w:t>
      </w:r>
      <w:r w:rsidRPr="147B66D1" w:rsidR="0B1BF2A7">
        <w:rPr>
          <w:rFonts w:ascii="FoundrySterling-Medium" w:hAnsi="FoundrySterling-Medium" w:eastAsia="Calibri" w:cs="Calibri"/>
          <w:color w:val="000000" w:themeColor="text1" w:themeTint="FF" w:themeShade="FF"/>
        </w:rPr>
        <w:t xml:space="preserve">e will offer a payment of £50 for attendance of the 2-hour workshop, plus £25 for an hour of preparation surrounding the meeting – a total of £75 per attendee. Those who attend can opt to be paid as an individual or </w:t>
      </w:r>
      <w:r w:rsidRPr="147B66D1" w:rsidR="122BAD07">
        <w:rPr>
          <w:rFonts w:ascii="FoundrySterling-Medium" w:hAnsi="FoundrySterling-Medium" w:eastAsia="Calibri" w:cs="Calibri"/>
          <w:color w:val="000000" w:themeColor="text1" w:themeTint="FF" w:themeShade="FF"/>
        </w:rPr>
        <w:t xml:space="preserve">if </w:t>
      </w:r>
      <w:r w:rsidRPr="147B66D1" w:rsidR="122BAD07">
        <w:rPr>
          <w:rFonts w:ascii="FoundrySterling-Medium" w:hAnsi="FoundrySterling-Medium" w:eastAsia="Calibri" w:cs="Calibri"/>
          <w:color w:val="000000" w:themeColor="text1" w:themeTint="FF" w:themeShade="FF"/>
        </w:rPr>
        <w:t>representing</w:t>
      </w:r>
      <w:r w:rsidRPr="147B66D1" w:rsidR="122BAD07">
        <w:rPr>
          <w:rFonts w:ascii="FoundrySterling-Medium" w:hAnsi="FoundrySterling-Medium" w:eastAsia="Calibri" w:cs="Calibri"/>
          <w:color w:val="000000" w:themeColor="text1" w:themeTint="FF" w:themeShade="FF"/>
        </w:rPr>
        <w:t xml:space="preserve"> an organisation, the organisation can receive the payment. </w:t>
      </w:r>
      <w:r w:rsidRPr="147B66D1" w:rsidR="2EEA0D89">
        <w:rPr>
          <w:rFonts w:ascii="FoundrySterling-Medium" w:hAnsi="FoundrySterling-Medium" w:eastAsia="Calibri" w:cs="Calibri"/>
          <w:color w:val="000000" w:themeColor="text1" w:themeTint="FF" w:themeShade="FF"/>
        </w:rPr>
        <w:t>You can also choose not to take payment; this will not affect whether you can attend.</w:t>
      </w:r>
      <w:r w:rsidRPr="147B66D1" w:rsidR="2EEA0D89">
        <w:rPr>
          <w:rFonts w:ascii="FoundrySterling-Medium" w:hAnsi="FoundrySterling-Medium" w:eastAsia="Calibri" w:cs="Calibri"/>
          <w:color w:val="000000" w:themeColor="text1" w:themeTint="FF" w:themeShade="FF"/>
        </w:rPr>
        <w:t xml:space="preserve"> </w:t>
      </w:r>
    </w:p>
    <w:p w:rsidR="147B66D1" w:rsidP="147B66D1" w:rsidRDefault="147B66D1" w14:paraId="56083E4F" w14:textId="224732F2">
      <w:pPr>
        <w:pStyle w:val="Normal"/>
        <w:spacing w:after="0" w:afterAutospacing="off"/>
        <w:rPr>
          <w:rFonts w:ascii="FoundrySterling-Medium" w:hAnsi="FoundrySterling-Medium" w:eastAsia="Calibri" w:cs="Calibri"/>
          <w:color w:val="000000" w:themeColor="text1" w:themeTint="FF" w:themeShade="FF"/>
        </w:rPr>
      </w:pPr>
    </w:p>
    <w:p w:rsidR="2F9ED2AF" w:rsidP="147B66D1" w:rsidRDefault="2F9ED2AF" w14:paraId="3476800C" w14:textId="3E0838D7">
      <w:pPr>
        <w:spacing w:after="0"/>
        <w:rPr>
          <w:rFonts w:ascii="FoundrySterling-Medium" w:hAnsi="FoundrySterling-Medium" w:eastAsia="Calibri" w:cs="Calibri"/>
          <w:color w:val="000000" w:themeColor="text1" w:themeTint="FF" w:themeShade="FF"/>
        </w:rPr>
      </w:pPr>
      <w:r w:rsidRPr="147B66D1" w:rsidR="2F9ED2AF">
        <w:rPr>
          <w:rFonts w:ascii="FoundrySterling-Medium" w:hAnsi="FoundrySterling-Medium" w:eastAsia="Calibri" w:cs="Calibri"/>
          <w:color w:val="000000" w:themeColor="text1" w:themeTint="FF" w:themeShade="FF"/>
        </w:rPr>
        <w:t xml:space="preserve">By offering payment for your time and expenses, we recognise that your contribution is an essential part to achieving better public and community engagement with research. Payment does not mean that you have a contract of employment with Oxford University. </w:t>
      </w:r>
    </w:p>
    <w:p w:rsidR="2F9ED2AF" w:rsidP="147B66D1" w:rsidRDefault="2F9ED2AF" w14:noSpellErr="1" w14:paraId="62F9D1D0" w14:textId="6FB4AF48">
      <w:pPr>
        <w:spacing w:after="0"/>
        <w:rPr>
          <w:rFonts w:ascii="FoundrySterling-Medium" w:hAnsi="FoundrySterling-Medium" w:eastAsia="Calibri" w:cs="Calibri"/>
          <w:color w:val="000000" w:themeColor="text1" w:themeTint="FF" w:themeShade="FF"/>
        </w:rPr>
      </w:pPr>
      <w:r w:rsidRPr="147B66D1" w:rsidR="2F9ED2AF">
        <w:rPr>
          <w:rFonts w:ascii="FoundrySterling-Medium" w:hAnsi="FoundrySterling-Medium" w:eastAsia="Calibri" w:cs="Calibri"/>
          <w:color w:val="000000" w:themeColor="text1" w:themeTint="FF" w:themeShade="FF"/>
        </w:rPr>
        <w:t xml:space="preserve"> </w:t>
      </w:r>
    </w:p>
    <w:p w:rsidR="2F9ED2AF" w:rsidP="147B66D1" w:rsidRDefault="2F9ED2AF" w14:noSpellErr="1" w14:paraId="734EB7AC" w14:textId="4277A461">
      <w:pPr>
        <w:spacing w:after="0"/>
        <w:rPr>
          <w:rFonts w:ascii="FoundrySterling-Medium" w:hAnsi="FoundrySterling-Medium" w:eastAsia="Calibri" w:cs="Calibri"/>
          <w:color w:val="0078D4"/>
        </w:rPr>
      </w:pPr>
      <w:r w:rsidRPr="147B66D1" w:rsidR="2F9ED2AF">
        <w:rPr>
          <w:rFonts w:ascii="FoundrySterling-Medium" w:hAnsi="FoundrySterling-Medium" w:eastAsia="Calibri" w:cs="Calibri"/>
          <w:color w:val="000000" w:themeColor="text1" w:themeTint="FF" w:themeShade="FF"/>
        </w:rPr>
        <w:t xml:space="preserve">Signing the form to express your interest doesn’t automatically secure you a place at the workshop or payment. We will select up to 20 attendees to invite to the workshop who will be offered payment. </w:t>
      </w:r>
    </w:p>
    <w:p w:rsidR="147B66D1" w:rsidP="147B66D1" w:rsidRDefault="147B66D1" w14:noSpellErr="1" w14:paraId="35872BEE" w14:textId="74009ABB">
      <w:pPr>
        <w:spacing w:after="0"/>
        <w:rPr>
          <w:rFonts w:ascii="FoundrySterling-Medium" w:hAnsi="FoundrySterling-Medium" w:eastAsia="Calibri" w:cs="Calibri"/>
          <w:color w:val="000000" w:themeColor="text1" w:themeTint="FF" w:themeShade="FF"/>
        </w:rPr>
      </w:pPr>
    </w:p>
    <w:p w:rsidR="2F9ED2AF" w:rsidP="147B66D1" w:rsidRDefault="2F9ED2AF" w14:paraId="67D5D834" w14:textId="09322131">
      <w:pPr>
        <w:spacing w:after="0"/>
        <w:rPr>
          <w:rFonts w:ascii="FoundrySterling-Medium" w:hAnsi="FoundrySterling-Medium" w:eastAsia="Calibri" w:cs="Calibri"/>
          <w:color w:val="000000" w:themeColor="text1" w:themeTint="FF" w:themeShade="FF"/>
        </w:rPr>
      </w:pPr>
      <w:r w:rsidRPr="147B66D1" w:rsidR="2F9ED2AF">
        <w:rPr>
          <w:rFonts w:ascii="FoundrySterling-Medium" w:hAnsi="FoundrySterling-Medium" w:eastAsia="Calibri" w:cs="Calibri"/>
          <w:color w:val="000000" w:themeColor="text1" w:themeTint="FF" w:themeShade="FF"/>
        </w:rPr>
        <w:t>In this document we provide so</w:t>
      </w:r>
      <w:r w:rsidRPr="147B66D1" w:rsidR="2F9ED2AF">
        <w:rPr>
          <w:rFonts w:ascii="FoundrySterling-Medium" w:hAnsi="FoundrySterling-Medium" w:eastAsia="Calibri" w:cs="Calibri"/>
          <w:color w:val="000000" w:themeColor="text1" w:themeTint="FF" w:themeShade="FF"/>
        </w:rPr>
        <w:t>me guid</w:t>
      </w:r>
      <w:r w:rsidRPr="147B66D1" w:rsidR="2F9ED2AF">
        <w:rPr>
          <w:rFonts w:ascii="FoundrySterling-Medium" w:hAnsi="FoundrySterling-Medium" w:eastAsia="Calibri" w:cs="Calibri"/>
          <w:color w:val="000000" w:themeColor="text1" w:themeTint="FF" w:themeShade="FF"/>
        </w:rPr>
        <w:t xml:space="preserve">ance around receiving payment. We will provide further detail to those signed up to the workshop. Please let us know if you have any questions by emailing the Community Engagement Coordinator, Rachel Piper on </w:t>
      </w:r>
      <w:hyperlink r:id="Rff54003b9d164b7f">
        <w:r w:rsidRPr="147B66D1" w:rsidR="2F9ED2AF">
          <w:rPr>
            <w:rStyle w:val="Hyperlink"/>
            <w:rFonts w:ascii="FoundrySterling-Medium" w:hAnsi="FoundrySterling-Medium" w:eastAsia="Calibri" w:cs="Calibri"/>
          </w:rPr>
          <w:t>rachel.piper@admin.ox.ac.uk</w:t>
        </w:r>
      </w:hyperlink>
    </w:p>
    <w:p w:rsidR="147B66D1" w:rsidP="147B66D1" w:rsidRDefault="147B66D1" w14:paraId="415F1E95" w14:textId="3F223BD9">
      <w:pPr>
        <w:pStyle w:val="Normal"/>
        <w:spacing w:after="120"/>
        <w:rPr>
          <w:rFonts w:ascii="FoundrySterling-Medium" w:hAnsi="FoundrySterling-Medium" w:eastAsia="Calibri" w:cs="Calibri"/>
          <w:color w:val="000000" w:themeColor="text1" w:themeTint="FF" w:themeShade="FF"/>
        </w:rPr>
      </w:pPr>
    </w:p>
    <w:p w:rsidR="57FF4E42" w:rsidP="147B66D1" w:rsidRDefault="57FF4E42" w14:noSpellErr="1" w14:paraId="56489567" w14:textId="10AFCBB4">
      <w:pPr>
        <w:spacing w:after="120"/>
        <w:rPr>
          <w:rFonts w:ascii="FoundrySterling-Medium" w:hAnsi="FoundrySterling-Medium" w:eastAsia="Calibri" w:cs="Calibri"/>
          <w:b w:val="1"/>
          <w:bCs w:val="1"/>
          <w:color w:val="000000" w:themeColor="text1" w:themeTint="FF" w:themeShade="FF"/>
        </w:rPr>
      </w:pPr>
      <w:r w:rsidRPr="147B66D1" w:rsidR="57FF4E42">
        <w:rPr>
          <w:rFonts w:ascii="FoundrySterling-Medium" w:hAnsi="FoundrySterling-Medium" w:eastAsia="Calibri" w:cs="Calibri"/>
          <w:b w:val="1"/>
          <w:bCs w:val="1"/>
          <w:color w:val="000000" w:themeColor="text1" w:themeTint="FF" w:themeShade="FF"/>
        </w:rPr>
        <w:t xml:space="preserve">Expenses </w:t>
      </w:r>
    </w:p>
    <w:p w:rsidR="57FF4E42" w:rsidP="147B66D1" w:rsidRDefault="57FF4E42" w14:paraId="61021B9D" w14:textId="2A7ED3D0">
      <w:pPr>
        <w:pStyle w:val="Normal"/>
        <w:spacing w:after="0"/>
        <w:rPr>
          <w:rFonts w:ascii="FoundrySterling-Medium" w:hAnsi="FoundrySterling-Medium" w:eastAsia="Calibri" w:cs="Calibri"/>
          <w:color w:val="000000" w:themeColor="text1" w:themeTint="FF" w:themeShade="FF"/>
        </w:rPr>
      </w:pPr>
      <w:r w:rsidRPr="147B66D1" w:rsidR="57FF4E42">
        <w:rPr>
          <w:rFonts w:ascii="FoundrySterling-Medium" w:hAnsi="FoundrySterling-Medium" w:eastAsia="Calibri" w:cs="Calibri"/>
          <w:color w:val="000000" w:themeColor="text1" w:themeTint="FF" w:themeShade="FF"/>
        </w:rPr>
        <w:t xml:space="preserve">We will be able to cover approved </w:t>
      </w:r>
      <w:r w:rsidRPr="147B66D1" w:rsidR="26D0BE4C">
        <w:rPr>
          <w:rFonts w:ascii="FoundrySterling-Medium" w:hAnsi="FoundrySterling-Medium" w:eastAsia="Calibri" w:cs="Calibri"/>
          <w:color w:val="000000" w:themeColor="text1" w:themeTint="FF" w:themeShade="FF"/>
        </w:rPr>
        <w:t xml:space="preserve">travel </w:t>
      </w:r>
      <w:r w:rsidRPr="147B66D1" w:rsidR="57FF4E42">
        <w:rPr>
          <w:rFonts w:ascii="FoundrySterling-Medium" w:hAnsi="FoundrySterling-Medium" w:eastAsia="Calibri" w:cs="Calibri"/>
          <w:color w:val="000000" w:themeColor="text1" w:themeTint="FF" w:themeShade="FF"/>
        </w:rPr>
        <w:t>expenses</w:t>
      </w:r>
      <w:r w:rsidRPr="147B66D1" w:rsidR="08882066">
        <w:rPr>
          <w:rFonts w:ascii="FoundrySterling-Medium" w:hAnsi="FoundrySterling-Medium" w:eastAsia="Calibri" w:cs="Calibri"/>
          <w:color w:val="000000" w:themeColor="text1" w:themeTint="FF" w:themeShade="FF"/>
        </w:rPr>
        <w:t xml:space="preserve"> </w:t>
      </w:r>
      <w:r w:rsidRPr="147B66D1" w:rsidR="57FF4E42">
        <w:rPr>
          <w:rFonts w:ascii="FoundrySterling-Medium" w:hAnsi="FoundrySterling-Medium" w:eastAsia="Calibri" w:cs="Calibri"/>
          <w:color w:val="000000" w:themeColor="text1" w:themeTint="FF" w:themeShade="FF"/>
        </w:rPr>
        <w:t>from within Oxfordshire to the venue</w:t>
      </w:r>
      <w:r w:rsidRPr="147B66D1" w:rsidR="1C619EFE">
        <w:rPr>
          <w:rFonts w:ascii="FoundrySterling-Medium" w:hAnsi="FoundrySterling-Medium" w:eastAsia="Calibri" w:cs="Calibri"/>
          <w:color w:val="000000" w:themeColor="text1" w:themeTint="FF" w:themeShade="FF"/>
        </w:rPr>
        <w:t>.</w:t>
      </w:r>
      <w:r w:rsidRPr="147B66D1" w:rsidR="1C619EFE">
        <w:rPr>
          <w:rFonts w:ascii="FoundrySterling-Medium" w:hAnsi="FoundrySterling-Medium" w:eastAsia="Calibri" w:cs="Calibri"/>
          <w:b w:val="1"/>
          <w:bCs w:val="1"/>
          <w:color w:val="000000" w:themeColor="text1" w:themeTint="FF" w:themeShade="FF"/>
        </w:rPr>
        <w:t xml:space="preserve"> </w:t>
      </w:r>
      <w:r w:rsidRPr="147B66D1" w:rsidR="1C619EFE">
        <w:rPr>
          <w:rFonts w:ascii="FoundrySterling-Medium" w:hAnsi="FoundrySterling-Medium" w:eastAsia="Calibri" w:cs="Calibri"/>
          <w:color w:val="000000" w:themeColor="text1" w:themeTint="FF" w:themeShade="FF"/>
        </w:rPr>
        <w:t>We can also discuss additional expenses such as childcare and caring expenses (such as accompaniment from support workers) for the period of the workshop.</w:t>
      </w:r>
    </w:p>
    <w:p w:rsidR="147B66D1" w:rsidP="147B66D1" w:rsidRDefault="147B66D1" w14:paraId="3FB90380" w14:textId="5FABBEAD">
      <w:pPr>
        <w:pStyle w:val="Normal"/>
        <w:spacing w:after="0"/>
        <w:rPr>
          <w:rFonts w:ascii="FoundrySterling-Medium" w:hAnsi="FoundrySterling-Medium" w:eastAsia="Calibri" w:cs="Calibri"/>
          <w:color w:val="000000" w:themeColor="text1" w:themeTint="FF" w:themeShade="FF"/>
        </w:rPr>
      </w:pPr>
    </w:p>
    <w:p w:rsidR="1C619EFE" w:rsidP="147B66D1" w:rsidRDefault="1C619EFE" w14:paraId="6EC55044" w14:textId="0CF6224F">
      <w:pPr>
        <w:pStyle w:val="Normal"/>
        <w:spacing w:after="0"/>
      </w:pPr>
      <w:r w:rsidRPr="147B66D1" w:rsidR="1C619EFE">
        <w:rPr>
          <w:rFonts w:ascii="FoundrySterling-Medium" w:hAnsi="FoundrySterling-Medium" w:eastAsia="FoundrySterling-Medium" w:cs="FoundrySterling-Medium"/>
          <w:noProof w:val="0"/>
          <w:sz w:val="22"/>
          <w:szCs w:val="22"/>
          <w:lang w:val="en-GB"/>
        </w:rPr>
        <w:t xml:space="preserve">Expense claims cannot be paid without a valid receipt. If you </w:t>
      </w:r>
      <w:r w:rsidRPr="147B66D1" w:rsidR="1C619EFE">
        <w:rPr>
          <w:rFonts w:ascii="FoundrySterling-Medium" w:hAnsi="FoundrySterling-Medium" w:eastAsia="FoundrySterling-Medium" w:cs="FoundrySterling-Medium"/>
          <w:noProof w:val="0"/>
          <w:sz w:val="22"/>
          <w:szCs w:val="22"/>
          <w:lang w:val="en-GB"/>
        </w:rPr>
        <w:t>anticipate</w:t>
      </w:r>
      <w:r w:rsidRPr="147B66D1" w:rsidR="1C619EFE">
        <w:rPr>
          <w:rFonts w:ascii="FoundrySterling-Medium" w:hAnsi="FoundrySterling-Medium" w:eastAsia="FoundrySterling-Medium" w:cs="FoundrySterling-Medium"/>
          <w:noProof w:val="0"/>
          <w:sz w:val="22"/>
          <w:szCs w:val="22"/>
          <w:lang w:val="en-GB"/>
        </w:rPr>
        <w:t xml:space="preserve"> difficulties in obtaining a </w:t>
      </w:r>
      <w:r w:rsidRPr="147B66D1" w:rsidR="1C619EFE">
        <w:rPr>
          <w:rFonts w:ascii="FoundrySterling-Medium" w:hAnsi="FoundrySterling-Medium" w:eastAsia="FoundrySterling-Medium" w:cs="FoundrySterling-Medium"/>
          <w:noProof w:val="0"/>
          <w:sz w:val="22"/>
          <w:szCs w:val="22"/>
          <w:lang w:val="en-GB"/>
        </w:rPr>
        <w:t>receipt</w:t>
      </w:r>
      <w:r w:rsidRPr="147B66D1" w:rsidR="1C619EFE">
        <w:rPr>
          <w:rFonts w:ascii="FoundrySterling-Medium" w:hAnsi="FoundrySterling-Medium" w:eastAsia="FoundrySterling-Medium" w:cs="FoundrySterling-Medium"/>
          <w:noProof w:val="0"/>
          <w:sz w:val="22"/>
          <w:szCs w:val="22"/>
          <w:lang w:val="en-GB"/>
        </w:rPr>
        <w:t xml:space="preserve"> please contact us for advice.</w:t>
      </w:r>
    </w:p>
    <w:p w:rsidR="147B66D1" w:rsidP="147B66D1" w:rsidRDefault="147B66D1" w14:paraId="2F2DDE34" w14:textId="790CFD08">
      <w:pPr>
        <w:pStyle w:val="Normal"/>
        <w:spacing w:after="0"/>
        <w:rPr>
          <w:rFonts w:ascii="FoundrySterling-Medium" w:hAnsi="FoundrySterling-Medium" w:eastAsia="Calibri" w:cs="Calibri"/>
          <w:color w:val="000000" w:themeColor="text1" w:themeTint="FF" w:themeShade="FF"/>
        </w:rPr>
      </w:pPr>
    </w:p>
    <w:p w:rsidRPr="00F46DE8" w:rsidR="00600E00" w:rsidP="4487401F" w:rsidRDefault="62C18A01" w14:paraId="6D7BDEA4" w14:textId="256CB0A4">
      <w:pPr>
        <w:spacing w:after="120"/>
        <w:rPr>
          <w:rFonts w:ascii="FoundrySterling-Medium" w:hAnsi="FoundrySterling-Medium" w:eastAsia="Calibri" w:cs="Calibri"/>
          <w:b/>
          <w:bCs/>
          <w:color w:val="000000" w:themeColor="text1"/>
        </w:rPr>
      </w:pPr>
      <w:r w:rsidRPr="00F46DE8">
        <w:rPr>
          <w:rFonts w:ascii="FoundrySterling-Medium" w:hAnsi="FoundrySterling-Medium" w:eastAsia="Calibri" w:cs="Calibri"/>
          <w:b/>
          <w:bCs/>
          <w:color w:val="000000" w:themeColor="text1"/>
        </w:rPr>
        <w:t xml:space="preserve">Income tax, </w:t>
      </w:r>
      <w:proofErr w:type="gramStart"/>
      <w:r w:rsidRPr="00F46DE8">
        <w:rPr>
          <w:rFonts w:ascii="FoundrySterling-Medium" w:hAnsi="FoundrySterling-Medium" w:eastAsia="Calibri" w:cs="Calibri"/>
          <w:b/>
          <w:bCs/>
          <w:color w:val="000000" w:themeColor="text1"/>
        </w:rPr>
        <w:t>insurance</w:t>
      </w:r>
      <w:proofErr w:type="gramEnd"/>
      <w:r w:rsidRPr="00F46DE8">
        <w:rPr>
          <w:rFonts w:ascii="FoundrySterling-Medium" w:hAnsi="FoundrySterling-Medium" w:eastAsia="Calibri" w:cs="Calibri"/>
          <w:b/>
          <w:bCs/>
          <w:color w:val="000000" w:themeColor="text1"/>
        </w:rPr>
        <w:t xml:space="preserve"> and pensions</w:t>
      </w:r>
    </w:p>
    <w:p w:rsidRPr="00F46DE8" w:rsidR="00600E00" w:rsidP="4487401F" w:rsidRDefault="56799CFA" w14:paraId="47D01B9E" w14:textId="0974287C">
      <w:pPr>
        <w:spacing w:after="120"/>
        <w:rPr>
          <w:rFonts w:ascii="FoundrySterling-Medium" w:hAnsi="FoundrySterling-Medium" w:eastAsia="Calibri" w:cs="Calibri"/>
          <w:color w:val="000000" w:themeColor="text1"/>
        </w:rPr>
      </w:pPr>
      <w:r w:rsidRPr="00F46DE8">
        <w:rPr>
          <w:rFonts w:ascii="FoundrySterling-Medium" w:hAnsi="FoundrySterling-Medium" w:eastAsia="Calibri" w:cs="Calibri"/>
          <w:color w:val="000000" w:themeColor="text1"/>
        </w:rPr>
        <w:t xml:space="preserve">Attendees, </w:t>
      </w:r>
      <w:r w:rsidRPr="00F46DE8" w:rsidR="0B1BF2A7">
        <w:rPr>
          <w:rFonts w:ascii="FoundrySterling-Medium" w:hAnsi="FoundrySterling-Medium" w:eastAsia="Calibri" w:cs="Calibri"/>
          <w:color w:val="000000" w:themeColor="text1"/>
        </w:rPr>
        <w:t>not the University of Oxford are responsible for complying with income tax, National Insurance and pension contributions on any payments received for your time. There is a difference in tax rules for payment made for involvement activities and payment of expenses.</w:t>
      </w:r>
    </w:p>
    <w:p w:rsidRPr="00F46DE8" w:rsidR="00600E00" w:rsidP="4487401F" w:rsidRDefault="0B1BF2A7" w14:paraId="76980D1C" w14:textId="0ECCC7AC">
      <w:pPr>
        <w:spacing w:after="120"/>
        <w:rPr>
          <w:rFonts w:ascii="FoundrySterling-Medium" w:hAnsi="FoundrySterling-Medium" w:eastAsia="Calibri" w:cs="Calibri"/>
          <w:color w:val="000000" w:themeColor="text1"/>
        </w:rPr>
      </w:pPr>
      <w:r w:rsidRPr="00F46DE8">
        <w:rPr>
          <w:rFonts w:ascii="FoundrySterling-Medium" w:hAnsi="FoundrySterling-Medium" w:eastAsia="Calibri" w:cs="Calibri"/>
          <w:color w:val="000000" w:themeColor="text1"/>
        </w:rPr>
        <w:t>•</w:t>
      </w:r>
      <w:r w:rsidRPr="00F46DE8" w:rsidR="0064601B">
        <w:rPr>
          <w:rFonts w:ascii="FoundrySterling-Medium" w:hAnsi="FoundrySterling-Medium"/>
        </w:rPr>
        <w:tab/>
      </w:r>
      <w:r w:rsidRPr="00F46DE8">
        <w:rPr>
          <w:rFonts w:ascii="FoundrySterling-Medium" w:hAnsi="FoundrySterling-Medium" w:eastAsia="Calibri" w:cs="Calibri"/>
          <w:color w:val="000000" w:themeColor="text1"/>
        </w:rPr>
        <w:t>payment for activities: payment for time spent on involvement activities is taxable and should be declared for tax purposes</w:t>
      </w:r>
    </w:p>
    <w:p w:rsidRPr="00F46DE8" w:rsidR="00600E00" w:rsidP="4487401F" w:rsidRDefault="0B1BF2A7" w14:paraId="547494E4" w14:textId="7A26D206">
      <w:pPr>
        <w:spacing w:after="120"/>
        <w:rPr>
          <w:rFonts w:ascii="FoundrySterling-Medium" w:hAnsi="FoundrySterling-Medium" w:eastAsia="Calibri" w:cs="Calibri"/>
          <w:color w:val="000000" w:themeColor="text1"/>
        </w:rPr>
      </w:pPr>
      <w:r w:rsidRPr="00F46DE8">
        <w:rPr>
          <w:rFonts w:ascii="FoundrySterling-Medium" w:hAnsi="FoundrySterling-Medium" w:eastAsia="Calibri" w:cs="Calibri"/>
          <w:color w:val="000000" w:themeColor="text1"/>
        </w:rPr>
        <w:t>•</w:t>
      </w:r>
      <w:r w:rsidRPr="00F46DE8" w:rsidR="0064601B">
        <w:rPr>
          <w:rFonts w:ascii="FoundrySterling-Medium" w:hAnsi="FoundrySterling-Medium"/>
        </w:rPr>
        <w:tab/>
      </w:r>
      <w:r w:rsidRPr="00F46DE8">
        <w:rPr>
          <w:rFonts w:ascii="FoundrySterling-Medium" w:hAnsi="FoundrySterling-Medium" w:eastAsia="Calibri" w:cs="Calibri"/>
          <w:color w:val="000000" w:themeColor="text1"/>
        </w:rPr>
        <w:t>payment of expenses is not taxable</w:t>
      </w:r>
    </w:p>
    <w:p w:rsidRPr="00F46DE8" w:rsidR="00600E00" w:rsidP="4487401F" w:rsidRDefault="0B1BF2A7" w14:paraId="0084EEDF" w14:textId="5B54E135">
      <w:pPr>
        <w:spacing w:after="120"/>
        <w:rPr>
          <w:rFonts w:ascii="FoundrySterling-Medium" w:hAnsi="FoundrySterling-Medium" w:eastAsia="Calibri" w:cs="Calibri"/>
          <w:color w:val="000000" w:themeColor="text1"/>
        </w:rPr>
      </w:pPr>
      <w:r w:rsidRPr="147B66D1" w:rsidR="0B1BF2A7">
        <w:rPr>
          <w:rFonts w:ascii="FoundrySterling-Medium" w:hAnsi="FoundrySterling-Medium" w:eastAsia="Calibri" w:cs="Calibri"/>
          <w:color w:val="000000" w:themeColor="text1" w:themeTint="FF" w:themeShade="FF"/>
        </w:rPr>
        <w:t>Attendees with questions about tax or National Insurance can contact their local HMRC office [HMRC Helpline 0300 200 3311</w:t>
      </w:r>
      <w:r w:rsidRPr="147B66D1" w:rsidR="51B812E9">
        <w:rPr>
          <w:rFonts w:ascii="FoundrySterling-Medium" w:hAnsi="FoundrySterling-Medium" w:eastAsia="Calibri" w:cs="Calibri"/>
          <w:color w:val="000000" w:themeColor="text1" w:themeTint="FF" w:themeShade="FF"/>
        </w:rPr>
        <w:t>]</w:t>
      </w:r>
    </w:p>
    <w:p w:rsidR="147B66D1" w:rsidP="147B66D1" w:rsidRDefault="147B66D1" w14:paraId="50BAF733" w14:textId="460565FB">
      <w:pPr>
        <w:pStyle w:val="Normal"/>
        <w:spacing w:after="120"/>
        <w:rPr>
          <w:rFonts w:ascii="FoundrySterling-Medium" w:hAnsi="FoundrySterling-Medium" w:eastAsia="Calibri" w:cs="Calibri"/>
          <w:color w:val="000000" w:themeColor="text1" w:themeTint="FF" w:themeShade="FF"/>
        </w:rPr>
      </w:pPr>
    </w:p>
    <w:p w:rsidRPr="00F46DE8" w:rsidR="00600E00" w:rsidP="4487401F" w:rsidRDefault="09517BAB" w14:paraId="29344D61" w14:textId="474EDE46">
      <w:pPr>
        <w:spacing w:after="120"/>
        <w:rPr>
          <w:rFonts w:ascii="FoundrySterling-Medium" w:hAnsi="FoundrySterling-Medium" w:eastAsia="Calibri" w:cs="Calibri"/>
          <w:b/>
          <w:bCs/>
          <w:color w:val="000000" w:themeColor="text1"/>
        </w:rPr>
      </w:pPr>
      <w:r w:rsidRPr="00F46DE8">
        <w:rPr>
          <w:rFonts w:ascii="FoundrySterling-Medium" w:hAnsi="FoundrySterling-Medium" w:eastAsia="Calibri" w:cs="Calibri"/>
          <w:b/>
          <w:bCs/>
          <w:color w:val="000000" w:themeColor="text1"/>
        </w:rPr>
        <w:t>Impact on Benefits</w:t>
      </w:r>
      <w:r w:rsidRPr="00F46DE8" w:rsidR="223265B6">
        <w:rPr>
          <w:rFonts w:ascii="FoundrySterling-Medium" w:hAnsi="FoundrySterling-Medium" w:eastAsia="Calibri" w:cs="Calibri"/>
          <w:b/>
          <w:bCs/>
          <w:color w:val="000000" w:themeColor="text1"/>
        </w:rPr>
        <w:t xml:space="preserve"> </w:t>
      </w:r>
    </w:p>
    <w:p w:rsidRPr="00F46DE8" w:rsidR="00600E00" w:rsidP="4487401F" w:rsidRDefault="0B1BF2A7" w14:paraId="0BF0A03F" w14:textId="246B8B24">
      <w:pPr>
        <w:spacing w:after="120"/>
        <w:rPr>
          <w:rFonts w:ascii="FoundrySterling-Medium" w:hAnsi="FoundrySterling-Medium" w:eastAsia="Calibri" w:cs="Calibri"/>
          <w:color w:val="000000" w:themeColor="text1"/>
        </w:rPr>
      </w:pPr>
      <w:r w:rsidRPr="147B66D1" w:rsidR="0B1BF2A7">
        <w:rPr>
          <w:rFonts w:ascii="FoundrySterling-Medium" w:hAnsi="FoundrySterling-Medium" w:eastAsia="Calibri" w:cs="Calibri"/>
          <w:color w:val="000000" w:themeColor="text1" w:themeTint="FF" w:themeShade="FF"/>
        </w:rPr>
        <w:t xml:space="preserve">Public contributors can always accept reimbursement of expenses, but receipt of payment for time is a very complex area if a public contributor is in receipt of state benefits of any kind and/or a state pension. We urge attendees to seek specialist advice before agreeing to accept payment and to speak to their benefits advisor or Jobcentre Plus, if applicable, to discuss their individual circumstances. It is the responsibility of the attendee, not The University of Oxford, to comply with the conditions of their benefits.  Jobcentre Plus officers may interpret taking part in involvement activities as readiness for work, whether payment is offered or not. Citizens Advice can provide help with queries related to this. Similarly, those who are in receipt of medical insurance (for example, are on sick leave) may find that this is affected. </w:t>
      </w:r>
    </w:p>
    <w:p w:rsidRPr="00F46DE8" w:rsidR="00600E00" w:rsidP="4487401F" w:rsidRDefault="0B1BF2A7" w14:paraId="0FF2D428" w14:textId="312CACB3">
      <w:pPr>
        <w:spacing w:after="0"/>
        <w:rPr>
          <w:rFonts w:ascii="FoundrySterling-Medium" w:hAnsi="FoundrySterling-Medium" w:eastAsia="Segoe UI" w:cs="Segoe UI"/>
          <w:color w:val="000000" w:themeColor="text1"/>
          <w:sz w:val="18"/>
          <w:szCs w:val="18"/>
        </w:rPr>
      </w:pPr>
      <w:r w:rsidRPr="147B66D1" w:rsidR="0B1BF2A7">
        <w:rPr>
          <w:rFonts w:ascii="FoundrySterling-Medium" w:hAnsi="FoundrySterling-Medium" w:eastAsia="Segoe UI" w:cs="Segoe UI"/>
          <w:color w:val="000000" w:themeColor="text1" w:themeTint="FF" w:themeShade="FF"/>
          <w:sz w:val="18"/>
          <w:szCs w:val="18"/>
        </w:rPr>
        <w:t xml:space="preserve"> </w:t>
      </w:r>
    </w:p>
    <w:p w:rsidR="147B66D1" w:rsidP="147B66D1" w:rsidRDefault="147B66D1" w14:paraId="6C2C1158" w14:textId="61588F29">
      <w:pPr>
        <w:pStyle w:val="Normal"/>
        <w:spacing w:after="0"/>
        <w:rPr>
          <w:rFonts w:ascii="FoundrySterling-Medium" w:hAnsi="FoundrySterling-Medium" w:eastAsia="Calibri" w:cs="Calibri"/>
          <w:color w:val="000000" w:themeColor="text1" w:themeTint="FF" w:themeShade="FF"/>
        </w:rPr>
      </w:pPr>
    </w:p>
    <w:p w:rsidR="74079AB0" w:rsidP="147B66D1" w:rsidRDefault="74079AB0" w14:paraId="0527FF12" w14:textId="03CAA858">
      <w:pPr>
        <w:pStyle w:val="Normal"/>
        <w:spacing w:after="0"/>
        <w:rPr>
          <w:rFonts w:ascii="FoundrySterling-Medium" w:hAnsi="FoundrySterling-Medium" w:eastAsia="Calibri" w:cs="Calibri"/>
          <w:b w:val="0"/>
          <w:bCs w:val="0"/>
          <w:i w:val="1"/>
          <w:iCs w:val="1"/>
          <w:color w:val="000000" w:themeColor="text1" w:themeTint="FF" w:themeShade="FF"/>
        </w:rPr>
      </w:pPr>
      <w:r w:rsidRPr="147B66D1" w:rsidR="74079AB0">
        <w:rPr>
          <w:rFonts w:ascii="FoundrySterling-Medium" w:hAnsi="FoundrySterling-Medium" w:eastAsia="Calibri" w:cs="Calibri"/>
          <w:b w:val="0"/>
          <w:bCs w:val="0"/>
          <w:i w:val="1"/>
          <w:iCs w:val="1"/>
          <w:color w:val="000000" w:themeColor="text1" w:themeTint="FF" w:themeShade="FF"/>
        </w:rPr>
        <w:t>Information is correct as of 16/06/2023 but may be subject to change</w:t>
      </w:r>
    </w:p>
    <w:sectPr w:rsidRPr="0064601B" w:rsidR="00600E00">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undrySterling-Medium">
    <w:charset w:val="00"/>
    <w:family w:val="auto"/>
    <w:pitch w:val="variable"/>
    <w:sig w:usb0="8000002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0C0F62"/>
    <w:rsid w:val="00600E00"/>
    <w:rsid w:val="0064601B"/>
    <w:rsid w:val="009B7F75"/>
    <w:rsid w:val="00A81E7A"/>
    <w:rsid w:val="00CA67D3"/>
    <w:rsid w:val="00D6182E"/>
    <w:rsid w:val="00EA3588"/>
    <w:rsid w:val="00F46DE8"/>
    <w:rsid w:val="0304F828"/>
    <w:rsid w:val="042C469F"/>
    <w:rsid w:val="04426CCF"/>
    <w:rsid w:val="0548716C"/>
    <w:rsid w:val="069CF1FA"/>
    <w:rsid w:val="08882066"/>
    <w:rsid w:val="09517BAB"/>
    <w:rsid w:val="0A493F79"/>
    <w:rsid w:val="0A8F7E79"/>
    <w:rsid w:val="0B1BF2A7"/>
    <w:rsid w:val="0CADAF8B"/>
    <w:rsid w:val="0E497FEC"/>
    <w:rsid w:val="122BAD07"/>
    <w:rsid w:val="147B66D1"/>
    <w:rsid w:val="160F226E"/>
    <w:rsid w:val="17AAF2CF"/>
    <w:rsid w:val="1880F041"/>
    <w:rsid w:val="197F222F"/>
    <w:rsid w:val="19924AFC"/>
    <w:rsid w:val="1C119476"/>
    <w:rsid w:val="1C619EFE"/>
    <w:rsid w:val="1DB60E6C"/>
    <w:rsid w:val="1F38692F"/>
    <w:rsid w:val="215973FB"/>
    <w:rsid w:val="223265B6"/>
    <w:rsid w:val="26D0BE4C"/>
    <w:rsid w:val="275A9B83"/>
    <w:rsid w:val="2883E399"/>
    <w:rsid w:val="2A8448D3"/>
    <w:rsid w:val="2E26A0C3"/>
    <w:rsid w:val="2EEA0D89"/>
    <w:rsid w:val="2F866D77"/>
    <w:rsid w:val="2F9ED2AF"/>
    <w:rsid w:val="33B45BAC"/>
    <w:rsid w:val="37636181"/>
    <w:rsid w:val="3A4F9E93"/>
    <w:rsid w:val="3E373A49"/>
    <w:rsid w:val="4213FC9A"/>
    <w:rsid w:val="42EB6FBE"/>
    <w:rsid w:val="4487401F"/>
    <w:rsid w:val="46E8657B"/>
    <w:rsid w:val="4BAF8445"/>
    <w:rsid w:val="4EC18C48"/>
    <w:rsid w:val="4ED42E2A"/>
    <w:rsid w:val="51B812E9"/>
    <w:rsid w:val="522077C5"/>
    <w:rsid w:val="5504957B"/>
    <w:rsid w:val="564121D0"/>
    <w:rsid w:val="56799CFA"/>
    <w:rsid w:val="57FF4E42"/>
    <w:rsid w:val="5F0F0D19"/>
    <w:rsid w:val="5F388CCD"/>
    <w:rsid w:val="62C18A01"/>
    <w:rsid w:val="63202883"/>
    <w:rsid w:val="6472ABD7"/>
    <w:rsid w:val="64B546AD"/>
    <w:rsid w:val="66EC849A"/>
    <w:rsid w:val="68C646B6"/>
    <w:rsid w:val="68F7CD27"/>
    <w:rsid w:val="691B252D"/>
    <w:rsid w:val="698F6A07"/>
    <w:rsid w:val="6BFDE778"/>
    <w:rsid w:val="6C055153"/>
    <w:rsid w:val="71CAAB34"/>
    <w:rsid w:val="73332156"/>
    <w:rsid w:val="74079AB0"/>
    <w:rsid w:val="740C0F62"/>
    <w:rsid w:val="757228AA"/>
    <w:rsid w:val="7B09192B"/>
    <w:rsid w:val="7B910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0F62"/>
  <w15:chartTrackingRefBased/>
  <w15:docId w15:val="{F47E4BA9-F127-438F-B9D6-1347D20D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png" Id="Rc772dfd5793e4b59" /><Relationship Type="http://schemas.openxmlformats.org/officeDocument/2006/relationships/image" Target="/media/image2.png" Id="Rd98f7abc794a4314" /><Relationship Type="http://schemas.openxmlformats.org/officeDocument/2006/relationships/hyperlink" Target="mailto:rachel.piper@admin.ox.ac.uk" TargetMode="External" Id="Rff54003b9d164b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af0ee6-2e59-4ce4-a17e-bc3a9dc88309">
      <Terms xmlns="http://schemas.microsoft.com/office/infopath/2007/PartnerControls"/>
    </lcf76f155ced4ddcb4097134ff3c332f>
    <TaxCatchAll xmlns="3d5075da-bc97-4890-8634-192c5c75f7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6B38B2B0802949BCA4DFAEB4047130" ma:contentTypeVersion="16" ma:contentTypeDescription="Create a new document." ma:contentTypeScope="" ma:versionID="f33c34a9d4afcf272793d047451fc731">
  <xsd:schema xmlns:xsd="http://www.w3.org/2001/XMLSchema" xmlns:xs="http://www.w3.org/2001/XMLSchema" xmlns:p="http://schemas.microsoft.com/office/2006/metadata/properties" xmlns:ns2="3eaf0ee6-2e59-4ce4-a17e-bc3a9dc88309" xmlns:ns3="3d5075da-bc97-4890-8634-192c5c75f78c" targetNamespace="http://schemas.microsoft.com/office/2006/metadata/properties" ma:root="true" ma:fieldsID="465481c9f1a891122d809ab493d6d65b" ns2:_="" ns3:_="">
    <xsd:import namespace="3eaf0ee6-2e59-4ce4-a17e-bc3a9dc88309"/>
    <xsd:import namespace="3d5075da-bc97-4890-8634-192c5c75f7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f0ee6-2e59-4ce4-a17e-bc3a9dc88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5075da-bc97-4890-8634-192c5c75f7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c73daf-d5ec-442d-904e-cd085d2dd007}" ma:internalName="TaxCatchAll" ma:showField="CatchAllData" ma:web="3d5075da-bc97-4890-8634-192c5c75f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FA86F-FDF4-4550-8B46-1440E906263B}">
  <ds:schemaRefs>
    <ds:schemaRef ds:uri="http://schemas.microsoft.com/sharepoint/v3/contenttype/forms"/>
  </ds:schemaRefs>
</ds:datastoreItem>
</file>

<file path=customXml/itemProps2.xml><?xml version="1.0" encoding="utf-8"?>
<ds:datastoreItem xmlns:ds="http://schemas.openxmlformats.org/officeDocument/2006/customXml" ds:itemID="{6301AC3B-AA17-4BC2-935C-FC18BE099F8B}">
  <ds:schemaRefs>
    <ds:schemaRef ds:uri="3eaf0ee6-2e59-4ce4-a17e-bc3a9dc88309"/>
    <ds:schemaRef ds:uri="http://purl.org/dc/dcmitype/"/>
    <ds:schemaRef ds:uri="http://schemas.microsoft.com/office/2006/documentManagement/types"/>
    <ds:schemaRef ds:uri="3d5075da-bc97-4890-8634-192c5c75f78c"/>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FC1DE5B-ABD4-47AD-A9A9-EEB911DD5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f0ee6-2e59-4ce4-a17e-bc3a9dc88309"/>
    <ds:schemaRef ds:uri="3d5075da-bc97-4890-8634-192c5c75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Piper</dc:creator>
  <keywords/>
  <dc:description/>
  <lastModifiedBy>Rachel Piper</lastModifiedBy>
  <revision>6</revision>
  <dcterms:created xsi:type="dcterms:W3CDTF">2023-06-15T16:30:00.0000000Z</dcterms:created>
  <dcterms:modified xsi:type="dcterms:W3CDTF">2023-06-16T09:31:48.2551818Z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0x010100966B38B2B0802949BCA4DFAEB4047130</vt:lpwstr>
  </property>
  <property fmtid="{D5CDD505-2E9C-101B-9397-08002B2CF9AE}" pid="3" name="GrammarlyDocumentId">
    <vt:lpwstr>2d2007419b979071719767500cca8515d42d177b5a60a40339b8ae7dbecdc514</vt:lpwstr>
  </property>
  <property fmtid="{D5CDD505-2E9C-101B-9397-08002B2CF9AE}" pid="4" name="MediaServiceImageTags">
    <vt:lpwstr/>
  </property>
</Properties>
</file>