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5385" w14:textId="0C22908D" w:rsidR="4E3B9E69" w:rsidRDefault="4E3B9E69" w:rsidP="1FB97253">
      <w:pPr>
        <w:spacing w:after="0" w:line="240" w:lineRule="auto"/>
        <w:rPr>
          <w:rFonts w:ascii="Calibri" w:eastAsia="Calibri" w:hAnsi="Calibri" w:cs="Calibri"/>
          <w:sz w:val="24"/>
          <w:szCs w:val="24"/>
        </w:rPr>
      </w:pPr>
      <w:r>
        <w:rPr>
          <w:noProof/>
        </w:rPr>
        <w:drawing>
          <wp:inline distT="0" distB="0" distL="0" distR="0" wp14:anchorId="3AE1DB74" wp14:editId="0B53E916">
            <wp:extent cx="3752850" cy="1152525"/>
            <wp:effectExtent l="0" t="0" r="0" b="0"/>
            <wp:docPr id="949715651" name="Picture 949715651" descr="Logo for University of Oxford Public Engagement with Research. Multi-coloured silhouettes of 19 people standing in a row, representing a variety of genders, sizes, ages and 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715651" name="Picture 949715651" descr="Logo for University of Oxford Public Engagement with Research. Multi-coloured silhouettes of 19 people standing in a row, representing a variety of genders, sizes, ages and abilities. "/>
                    <pic:cNvPicPr/>
                  </pic:nvPicPr>
                  <pic:blipFill>
                    <a:blip r:embed="rId10">
                      <a:extLst>
                        <a:ext uri="{28A0092B-C50C-407E-A947-70E740481C1C}">
                          <a14:useLocalDpi xmlns:a14="http://schemas.microsoft.com/office/drawing/2010/main" val="0"/>
                        </a:ext>
                      </a:extLst>
                    </a:blip>
                    <a:stretch>
                      <a:fillRect/>
                    </a:stretch>
                  </pic:blipFill>
                  <pic:spPr>
                    <a:xfrm>
                      <a:off x="0" y="0"/>
                      <a:ext cx="3752850" cy="1152525"/>
                    </a:xfrm>
                    <a:prstGeom prst="rect">
                      <a:avLst/>
                    </a:prstGeom>
                  </pic:spPr>
                </pic:pic>
              </a:graphicData>
            </a:graphic>
          </wp:inline>
        </w:drawing>
      </w:r>
      <w:r w:rsidRPr="259064CA">
        <w:rPr>
          <w:rFonts w:ascii="Calibri" w:eastAsia="Calibri" w:hAnsi="Calibri" w:cs="Calibri"/>
          <w:sz w:val="24"/>
          <w:szCs w:val="24"/>
          <w:lang w:val="en-US"/>
        </w:rPr>
        <w:t xml:space="preserve">              </w:t>
      </w:r>
      <w:r>
        <w:rPr>
          <w:noProof/>
        </w:rPr>
        <w:drawing>
          <wp:inline distT="0" distB="0" distL="0" distR="0" wp14:anchorId="5DBC0452" wp14:editId="27D8A466">
            <wp:extent cx="1143000" cy="1143000"/>
            <wp:effectExtent l="0" t="0" r="0" b="0"/>
            <wp:docPr id="102364905" name="Picture 102364905" descr="Standard square University of Oxford logo. Dark blue background, university crest in top right corner, 'University of Oxford' in white letters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4905" name="Picture 102364905" descr="Standard square University of Oxford logo. Dark blue background, university crest in top right corner, 'University of Oxford' in white letters at the bottom. "/>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616843A1" w14:textId="249B8EBA" w:rsidR="1FB97253" w:rsidRDefault="1FB97253" w:rsidP="1FB97253">
      <w:pPr>
        <w:spacing w:after="0" w:line="240" w:lineRule="auto"/>
        <w:rPr>
          <w:rFonts w:ascii="Calibri" w:eastAsia="Calibri" w:hAnsi="Calibri" w:cs="Calibri"/>
          <w:color w:val="0070C0"/>
          <w:sz w:val="32"/>
          <w:szCs w:val="32"/>
        </w:rPr>
      </w:pPr>
    </w:p>
    <w:p w14:paraId="6A314421" w14:textId="06056A3E" w:rsidR="4E3B9E69" w:rsidRDefault="5893D0C8" w:rsidP="1FB97253">
      <w:pPr>
        <w:spacing w:after="0" w:line="240" w:lineRule="auto"/>
        <w:jc w:val="center"/>
        <w:rPr>
          <w:rFonts w:ascii="Calibri" w:eastAsia="Calibri" w:hAnsi="Calibri" w:cs="Calibri"/>
          <w:color w:val="0070C0"/>
          <w:sz w:val="32"/>
          <w:szCs w:val="32"/>
        </w:rPr>
      </w:pPr>
      <w:r w:rsidRPr="33012CA1">
        <w:rPr>
          <w:rFonts w:ascii="Calibri" w:eastAsia="Calibri" w:hAnsi="Calibri" w:cs="Calibri"/>
          <w:b/>
          <w:bCs/>
          <w:color w:val="0070C0"/>
          <w:sz w:val="32"/>
          <w:szCs w:val="32"/>
          <w:lang w:val="en-US"/>
        </w:rPr>
        <w:t>PER Culture Change Fund 2021-22</w:t>
      </w:r>
      <w:r w:rsidR="4E3B9E69">
        <w:br/>
      </w:r>
      <w:r w:rsidR="71F20607" w:rsidRPr="33012CA1">
        <w:rPr>
          <w:rFonts w:ascii="Calibri" w:eastAsia="Calibri" w:hAnsi="Calibri" w:cs="Calibri"/>
          <w:b/>
          <w:bCs/>
          <w:color w:val="0070C0"/>
          <w:sz w:val="32"/>
          <w:szCs w:val="32"/>
          <w:lang w:val="en-US"/>
        </w:rPr>
        <w:t xml:space="preserve">EDGE </w:t>
      </w:r>
      <w:r w:rsidR="4E3B9E69" w:rsidRPr="33012CA1">
        <w:rPr>
          <w:rFonts w:ascii="Calibri" w:eastAsia="Calibri" w:hAnsi="Calibri" w:cs="Calibri"/>
          <w:b/>
          <w:bCs/>
          <w:color w:val="0070C0"/>
          <w:sz w:val="32"/>
          <w:szCs w:val="32"/>
          <w:lang w:val="en-US"/>
        </w:rPr>
        <w:t>Guidance</w:t>
      </w:r>
    </w:p>
    <w:p w14:paraId="1238E7BF" w14:textId="0AC9A666" w:rsidR="1FB97253" w:rsidRDefault="1FB97253" w:rsidP="1FB97253">
      <w:pPr>
        <w:spacing w:after="0" w:line="240" w:lineRule="auto"/>
        <w:rPr>
          <w:rFonts w:ascii="Calibri" w:eastAsia="Calibri" w:hAnsi="Calibri" w:cs="Calibri"/>
          <w:sz w:val="24"/>
          <w:szCs w:val="24"/>
        </w:rPr>
      </w:pPr>
    </w:p>
    <w:p w14:paraId="642887EF" w14:textId="1F52C58A" w:rsidR="564C466E" w:rsidRDefault="7A564A46" w:rsidP="1FB97253">
      <w:pPr>
        <w:rPr>
          <w:rFonts w:ascii="Calibri" w:eastAsia="Calibri" w:hAnsi="Calibri" w:cs="Calibri"/>
          <w:sz w:val="24"/>
          <w:szCs w:val="24"/>
          <w:lang w:val="en-US"/>
        </w:rPr>
      </w:pPr>
      <w:r w:rsidRPr="259064CA">
        <w:rPr>
          <w:rFonts w:ascii="Calibri" w:eastAsia="Calibri" w:hAnsi="Calibri" w:cs="Calibri"/>
          <w:sz w:val="24"/>
          <w:szCs w:val="24"/>
          <w:lang w:val="en-US"/>
        </w:rPr>
        <w:t xml:space="preserve">The Case for Support form for this funding scheme includes a section where </w:t>
      </w:r>
      <w:r w:rsidR="564C466E" w:rsidRPr="259064CA">
        <w:rPr>
          <w:rFonts w:ascii="Calibri" w:eastAsia="Calibri" w:hAnsi="Calibri" w:cs="Calibri"/>
          <w:sz w:val="24"/>
          <w:szCs w:val="24"/>
          <w:lang w:val="en-US"/>
        </w:rPr>
        <w:t>you</w:t>
      </w:r>
      <w:r w:rsidR="20B3FBAE" w:rsidRPr="259064CA">
        <w:rPr>
          <w:rFonts w:ascii="Calibri" w:eastAsia="Calibri" w:hAnsi="Calibri" w:cs="Calibri"/>
          <w:sz w:val="24"/>
          <w:szCs w:val="24"/>
          <w:lang w:val="en-US"/>
        </w:rPr>
        <w:t xml:space="preserve"> are</w:t>
      </w:r>
      <w:r w:rsidR="564C466E" w:rsidRPr="259064CA">
        <w:rPr>
          <w:rFonts w:ascii="Calibri" w:eastAsia="Calibri" w:hAnsi="Calibri" w:cs="Calibri"/>
          <w:sz w:val="24"/>
          <w:szCs w:val="24"/>
          <w:lang w:val="en-US"/>
        </w:rPr>
        <w:t xml:space="preserve"> </w:t>
      </w:r>
      <w:r w:rsidR="533BA805" w:rsidRPr="259064CA">
        <w:rPr>
          <w:rFonts w:ascii="Calibri" w:eastAsia="Calibri" w:hAnsi="Calibri" w:cs="Calibri"/>
          <w:sz w:val="24"/>
          <w:szCs w:val="24"/>
          <w:lang w:val="en-US"/>
        </w:rPr>
        <w:t xml:space="preserve">asked </w:t>
      </w:r>
      <w:r w:rsidR="564C466E" w:rsidRPr="259064CA">
        <w:rPr>
          <w:rFonts w:ascii="Calibri" w:eastAsia="Calibri" w:hAnsi="Calibri" w:cs="Calibri"/>
          <w:sz w:val="24"/>
          <w:szCs w:val="24"/>
          <w:lang w:val="en-US"/>
        </w:rPr>
        <w:t xml:space="preserve">to complete an EDGE analysis for your department. The EDGE tool’s purpose is to help universities and the divisions, </w:t>
      </w:r>
      <w:proofErr w:type="gramStart"/>
      <w:r w:rsidR="564C466E" w:rsidRPr="259064CA">
        <w:rPr>
          <w:rFonts w:ascii="Calibri" w:eastAsia="Calibri" w:hAnsi="Calibri" w:cs="Calibri"/>
          <w:sz w:val="24"/>
          <w:szCs w:val="24"/>
          <w:lang w:val="en-US"/>
        </w:rPr>
        <w:t>departments</w:t>
      </w:r>
      <w:proofErr w:type="gramEnd"/>
      <w:r w:rsidR="564C466E" w:rsidRPr="259064CA">
        <w:rPr>
          <w:rFonts w:ascii="Calibri" w:eastAsia="Calibri" w:hAnsi="Calibri" w:cs="Calibri"/>
          <w:sz w:val="24"/>
          <w:szCs w:val="24"/>
          <w:lang w:val="en-US"/>
        </w:rPr>
        <w:t xml:space="preserve"> and faculties therein to assess their current support for public engagement with research and identify areas where they would like to see change. It was created by the National Coordinating Centre for Public Engagement (NCCPE)</w:t>
      </w:r>
      <w:r w:rsidR="44FB7DFA" w:rsidRPr="259064CA">
        <w:rPr>
          <w:rFonts w:ascii="Calibri" w:eastAsia="Calibri" w:hAnsi="Calibri" w:cs="Calibri"/>
          <w:sz w:val="24"/>
          <w:szCs w:val="24"/>
          <w:lang w:val="en-US"/>
        </w:rPr>
        <w:t xml:space="preserve"> and you can find out more about it </w:t>
      </w:r>
      <w:hyperlink r:id="rId12">
        <w:r w:rsidR="44FB7DFA" w:rsidRPr="259064CA">
          <w:rPr>
            <w:rStyle w:val="Hyperlink"/>
            <w:rFonts w:ascii="Calibri" w:eastAsia="Calibri" w:hAnsi="Calibri" w:cs="Calibri"/>
            <w:sz w:val="24"/>
            <w:szCs w:val="24"/>
            <w:lang w:val="en-US"/>
          </w:rPr>
          <w:t>on their website</w:t>
        </w:r>
      </w:hyperlink>
      <w:r w:rsidR="44FB7DFA" w:rsidRPr="259064CA">
        <w:rPr>
          <w:rFonts w:ascii="Calibri" w:eastAsia="Calibri" w:hAnsi="Calibri" w:cs="Calibri"/>
          <w:sz w:val="24"/>
          <w:szCs w:val="24"/>
          <w:lang w:val="en-US"/>
        </w:rPr>
        <w:t xml:space="preserve">. </w:t>
      </w:r>
      <w:r w:rsidR="3CEA1B9C" w:rsidRPr="259064CA">
        <w:rPr>
          <w:rFonts w:ascii="Calibri" w:eastAsia="Calibri" w:hAnsi="Calibri" w:cs="Calibri"/>
          <w:sz w:val="24"/>
          <w:szCs w:val="24"/>
          <w:lang w:val="en-US"/>
        </w:rPr>
        <w:t xml:space="preserve">      </w:t>
      </w:r>
    </w:p>
    <w:p w14:paraId="2A438364" w14:textId="63EE3909" w:rsidR="408CAB83" w:rsidRDefault="408CAB83" w:rsidP="58F36971">
      <w:pPr>
        <w:rPr>
          <w:rFonts w:ascii="Calibri" w:eastAsia="Calibri" w:hAnsi="Calibri" w:cs="Calibri"/>
          <w:sz w:val="24"/>
          <w:szCs w:val="24"/>
          <w:lang w:val="en-US"/>
        </w:rPr>
      </w:pPr>
      <w:r w:rsidRPr="58F36971">
        <w:rPr>
          <w:rFonts w:ascii="Calibri" w:eastAsia="Calibri" w:hAnsi="Calibri" w:cs="Calibri"/>
          <w:sz w:val="24"/>
          <w:szCs w:val="24"/>
          <w:lang w:val="en-US"/>
        </w:rPr>
        <w:t>The purpose of including the EDGE analysis in this application process is to assist applicants in understanding how their proposed activity can be most effective</w:t>
      </w:r>
      <w:r w:rsidR="77008F21" w:rsidRPr="58F36971">
        <w:rPr>
          <w:rFonts w:ascii="Calibri" w:eastAsia="Calibri" w:hAnsi="Calibri" w:cs="Calibri"/>
          <w:sz w:val="24"/>
          <w:szCs w:val="24"/>
          <w:lang w:val="en-US"/>
        </w:rPr>
        <w:t xml:space="preserve"> for their department. </w:t>
      </w:r>
    </w:p>
    <w:p w14:paraId="3ECC6D7A" w14:textId="552E19A3" w:rsidR="1FB97253" w:rsidRDefault="1FB97253" w:rsidP="1FB97253">
      <w:pPr>
        <w:spacing w:after="0" w:line="240" w:lineRule="auto"/>
        <w:rPr>
          <w:rFonts w:ascii="Calibri" w:eastAsia="Calibri" w:hAnsi="Calibri" w:cs="Calibri"/>
          <w:sz w:val="24"/>
          <w:szCs w:val="24"/>
        </w:rPr>
      </w:pPr>
    </w:p>
    <w:p w14:paraId="32879D30" w14:textId="70CC85E9" w:rsidR="564C466E" w:rsidRDefault="564C466E" w:rsidP="1FB97253">
      <w:pPr>
        <w:spacing w:after="0" w:line="240" w:lineRule="auto"/>
        <w:rPr>
          <w:rFonts w:ascii="Calibri" w:eastAsia="Calibri" w:hAnsi="Calibri" w:cs="Calibri"/>
          <w:sz w:val="24"/>
          <w:szCs w:val="24"/>
        </w:rPr>
      </w:pPr>
      <w:r w:rsidRPr="1FB97253">
        <w:rPr>
          <w:rFonts w:ascii="Calibri" w:eastAsia="Calibri" w:hAnsi="Calibri" w:cs="Calibri"/>
          <w:sz w:val="24"/>
          <w:szCs w:val="24"/>
          <w:lang w:val="en-US"/>
        </w:rPr>
        <w:t>EDGE stands for…</w:t>
      </w:r>
    </w:p>
    <w:p w14:paraId="40CEE089" w14:textId="39F7E403" w:rsidR="564C466E" w:rsidRDefault="564C466E" w:rsidP="1FB97253">
      <w:pPr>
        <w:pStyle w:val="ListParagraph"/>
        <w:numPr>
          <w:ilvl w:val="0"/>
          <w:numId w:val="2"/>
        </w:numPr>
        <w:spacing w:after="0" w:line="240" w:lineRule="auto"/>
        <w:rPr>
          <w:rFonts w:eastAsiaTheme="minorEastAsia"/>
          <w:sz w:val="24"/>
          <w:szCs w:val="24"/>
        </w:rPr>
      </w:pPr>
      <w:r w:rsidRPr="1FB97253">
        <w:rPr>
          <w:rFonts w:ascii="Calibri" w:eastAsia="Calibri" w:hAnsi="Calibri" w:cs="Calibri"/>
          <w:sz w:val="24"/>
          <w:szCs w:val="24"/>
          <w:lang w:val="en-US"/>
        </w:rPr>
        <w:t>Embryonic:  Institutional or departmental support for engagement is patchy or non-existent, although some engagement activity is underway</w:t>
      </w:r>
    </w:p>
    <w:p w14:paraId="247495A1" w14:textId="1695BECE" w:rsidR="564C466E" w:rsidRDefault="564C466E" w:rsidP="1FB97253">
      <w:pPr>
        <w:pStyle w:val="ListParagraph"/>
        <w:numPr>
          <w:ilvl w:val="0"/>
          <w:numId w:val="2"/>
        </w:numPr>
        <w:spacing w:after="0" w:line="240" w:lineRule="auto"/>
        <w:rPr>
          <w:rFonts w:eastAsiaTheme="minorEastAsia"/>
          <w:sz w:val="24"/>
          <w:szCs w:val="24"/>
        </w:rPr>
      </w:pPr>
      <w:r w:rsidRPr="1FB97253">
        <w:rPr>
          <w:rFonts w:ascii="Calibri" w:eastAsia="Calibri" w:hAnsi="Calibri" w:cs="Calibri"/>
          <w:sz w:val="24"/>
          <w:szCs w:val="24"/>
          <w:lang w:val="en-US"/>
        </w:rPr>
        <w:t>Developing: Some support has been put in place, but in a relatively unsystematic and non-strategic fashion</w:t>
      </w:r>
    </w:p>
    <w:p w14:paraId="30ADB769" w14:textId="3A6EE5FE" w:rsidR="564C466E" w:rsidRDefault="564C466E" w:rsidP="1FB97253">
      <w:pPr>
        <w:pStyle w:val="ListParagraph"/>
        <w:numPr>
          <w:ilvl w:val="0"/>
          <w:numId w:val="2"/>
        </w:numPr>
        <w:spacing w:after="0" w:line="240" w:lineRule="auto"/>
        <w:rPr>
          <w:rFonts w:eastAsiaTheme="minorEastAsia"/>
          <w:sz w:val="24"/>
          <w:szCs w:val="24"/>
        </w:rPr>
      </w:pPr>
      <w:r w:rsidRPr="1FB97253">
        <w:rPr>
          <w:rFonts w:ascii="Calibri" w:eastAsia="Calibri" w:hAnsi="Calibri" w:cs="Calibri"/>
          <w:sz w:val="24"/>
          <w:szCs w:val="24"/>
          <w:lang w:val="en-US"/>
        </w:rPr>
        <w:t xml:space="preserve">Gripping: The institution (or department) is taking steps to develop more systematic and strategic support </w:t>
      </w:r>
    </w:p>
    <w:p w14:paraId="4151E912" w14:textId="59BCF6B1" w:rsidR="564C466E" w:rsidRDefault="564C466E" w:rsidP="1FB97253">
      <w:pPr>
        <w:pStyle w:val="ListParagraph"/>
        <w:numPr>
          <w:ilvl w:val="0"/>
          <w:numId w:val="2"/>
        </w:numPr>
        <w:spacing w:after="0" w:line="240" w:lineRule="auto"/>
        <w:rPr>
          <w:rFonts w:eastAsiaTheme="minorEastAsia"/>
          <w:sz w:val="24"/>
          <w:szCs w:val="24"/>
        </w:rPr>
      </w:pPr>
      <w:r w:rsidRPr="1FB97253">
        <w:rPr>
          <w:rFonts w:ascii="Calibri" w:eastAsia="Calibri" w:hAnsi="Calibri" w:cs="Calibri"/>
          <w:sz w:val="24"/>
          <w:szCs w:val="24"/>
          <w:lang w:val="en-US"/>
        </w:rPr>
        <w:t>Embedding:  The institution (or department) has put in place strategic and operational support for engagement</w:t>
      </w:r>
    </w:p>
    <w:p w14:paraId="7D86C3B2" w14:textId="734C34A9" w:rsidR="1FB97253" w:rsidRDefault="1FB97253" w:rsidP="1FB97253">
      <w:pPr>
        <w:spacing w:after="0" w:line="240" w:lineRule="auto"/>
        <w:rPr>
          <w:rFonts w:ascii="Calibri" w:eastAsia="Calibri" w:hAnsi="Calibri" w:cs="Calibri"/>
          <w:sz w:val="24"/>
          <w:szCs w:val="24"/>
        </w:rPr>
      </w:pPr>
    </w:p>
    <w:p w14:paraId="6016A21B" w14:textId="1CB978B6" w:rsidR="564C466E" w:rsidRDefault="564C466E" w:rsidP="58F36971">
      <w:pPr>
        <w:spacing w:after="0" w:line="240" w:lineRule="auto"/>
        <w:rPr>
          <w:rFonts w:ascii="Calibri" w:eastAsia="Calibri" w:hAnsi="Calibri" w:cs="Calibri"/>
          <w:sz w:val="24"/>
          <w:szCs w:val="24"/>
          <w:lang w:val="en-US"/>
        </w:rPr>
      </w:pPr>
      <w:r w:rsidRPr="58F36971">
        <w:rPr>
          <w:rFonts w:ascii="Calibri" w:eastAsia="Calibri" w:hAnsi="Calibri" w:cs="Calibri"/>
          <w:sz w:val="24"/>
          <w:szCs w:val="24"/>
          <w:lang w:val="en-US"/>
        </w:rPr>
        <w:t xml:space="preserve">It’s important to note that for this analysis, you should focus on Public Engagement </w:t>
      </w:r>
      <w:r w:rsidRPr="58F36971">
        <w:rPr>
          <w:rFonts w:ascii="Calibri" w:eastAsia="Calibri" w:hAnsi="Calibri" w:cs="Calibri"/>
          <w:i/>
          <w:iCs/>
          <w:sz w:val="24"/>
          <w:szCs w:val="24"/>
          <w:lang w:val="en-US"/>
        </w:rPr>
        <w:t>with Research</w:t>
      </w:r>
      <w:r w:rsidRPr="58F36971">
        <w:rPr>
          <w:rFonts w:ascii="Calibri" w:eastAsia="Calibri" w:hAnsi="Calibri" w:cs="Calibri"/>
          <w:sz w:val="24"/>
          <w:szCs w:val="24"/>
          <w:lang w:val="en-US"/>
        </w:rPr>
        <w:t xml:space="preserve"> (as opposed to public engagement in general). Read through the descriptors of the four levels (E, D, G, E) for nine different elements (mission, leadership, communication, support, learning, recognition, staff, research students, public) and decide which level your department is at for each element. </w:t>
      </w:r>
    </w:p>
    <w:p w14:paraId="2417784D" w14:textId="42B5E191" w:rsidR="1FB97253" w:rsidRDefault="1FB97253" w:rsidP="1FB97253">
      <w:pPr>
        <w:spacing w:after="0" w:line="240" w:lineRule="auto"/>
        <w:rPr>
          <w:rFonts w:ascii="Calibri" w:eastAsia="Calibri" w:hAnsi="Calibri" w:cs="Calibri"/>
          <w:sz w:val="24"/>
          <w:szCs w:val="24"/>
        </w:rPr>
      </w:pPr>
    </w:p>
    <w:p w14:paraId="510830F5" w14:textId="2BB57740" w:rsidR="1FB97253" w:rsidRDefault="1FB97253" w:rsidP="1FB97253">
      <w:pPr>
        <w:spacing w:after="0" w:line="240" w:lineRule="auto"/>
        <w:rPr>
          <w:rFonts w:ascii="Calibri" w:eastAsia="Calibri" w:hAnsi="Calibri" w:cs="Calibri"/>
          <w:sz w:val="24"/>
          <w:szCs w:val="24"/>
        </w:rPr>
      </w:pPr>
    </w:p>
    <w:p w14:paraId="5E02BAEA" w14:textId="6D4E633E" w:rsidR="400C1484" w:rsidRDefault="400C1484" w:rsidP="1FB97253">
      <w:pPr>
        <w:spacing w:after="0" w:line="240" w:lineRule="auto"/>
        <w:rPr>
          <w:rFonts w:ascii="Calibri" w:eastAsia="Calibri" w:hAnsi="Calibri" w:cs="Calibri"/>
          <w:sz w:val="24"/>
          <w:szCs w:val="24"/>
        </w:rPr>
      </w:pPr>
      <w:r w:rsidRPr="1FB97253">
        <w:rPr>
          <w:rFonts w:ascii="Calibri" w:eastAsia="Calibri" w:hAnsi="Calibri" w:cs="Calibri"/>
          <w:sz w:val="24"/>
          <w:szCs w:val="24"/>
        </w:rPr>
        <w:t>Please use the analysis matrix below to complete the EDGE requirement for your Case for Support form</w:t>
      </w:r>
      <w:r w:rsidR="661F0469" w:rsidRPr="1FB97253">
        <w:rPr>
          <w:rFonts w:ascii="Calibri" w:eastAsia="Calibri" w:hAnsi="Calibri" w:cs="Calibri"/>
          <w:sz w:val="24"/>
          <w:szCs w:val="24"/>
        </w:rPr>
        <w:t>:</w:t>
      </w:r>
    </w:p>
    <w:p w14:paraId="1F216369" w14:textId="482EC6D2" w:rsidR="400C1484" w:rsidRDefault="400C1484" w:rsidP="1FB97253">
      <w:pPr>
        <w:pStyle w:val="ListParagraph"/>
        <w:numPr>
          <w:ilvl w:val="0"/>
          <w:numId w:val="1"/>
        </w:numPr>
        <w:spacing w:after="0" w:line="240" w:lineRule="auto"/>
        <w:rPr>
          <w:rFonts w:eastAsiaTheme="minorEastAsia"/>
          <w:sz w:val="24"/>
          <w:szCs w:val="24"/>
        </w:rPr>
      </w:pPr>
      <w:r w:rsidRPr="37CA9558">
        <w:rPr>
          <w:rFonts w:ascii="Calibri" w:eastAsia="Calibri" w:hAnsi="Calibri" w:cs="Calibri"/>
          <w:sz w:val="24"/>
          <w:szCs w:val="24"/>
        </w:rPr>
        <w:t xml:space="preserve">Highlight the appropriate </w:t>
      </w:r>
      <w:r w:rsidR="194ED5F7" w:rsidRPr="37CA9558">
        <w:rPr>
          <w:rFonts w:ascii="Calibri" w:eastAsia="Calibri" w:hAnsi="Calibri" w:cs="Calibri"/>
          <w:sz w:val="24"/>
          <w:szCs w:val="24"/>
        </w:rPr>
        <w:t xml:space="preserve">level </w:t>
      </w:r>
      <w:r w:rsidRPr="37CA9558">
        <w:rPr>
          <w:rFonts w:ascii="Calibri" w:eastAsia="Calibri" w:hAnsi="Calibri" w:cs="Calibri"/>
          <w:sz w:val="24"/>
          <w:szCs w:val="24"/>
        </w:rPr>
        <w:t xml:space="preserve">(E, D, G, E) that reflects </w:t>
      </w:r>
      <w:r w:rsidR="10DC589E" w:rsidRPr="37CA9558">
        <w:rPr>
          <w:rFonts w:ascii="Calibri" w:eastAsia="Calibri" w:hAnsi="Calibri" w:cs="Calibri"/>
          <w:sz w:val="24"/>
          <w:szCs w:val="24"/>
        </w:rPr>
        <w:t xml:space="preserve">the situation of your department for each of the nine elements. </w:t>
      </w:r>
    </w:p>
    <w:p w14:paraId="50A5A636" w14:textId="1B5D04C8" w:rsidR="3F67712E" w:rsidRDefault="3F67712E" w:rsidP="1FB97253">
      <w:pPr>
        <w:pStyle w:val="ListParagraph"/>
        <w:numPr>
          <w:ilvl w:val="0"/>
          <w:numId w:val="1"/>
        </w:numPr>
        <w:spacing w:after="0" w:line="240" w:lineRule="auto"/>
        <w:rPr>
          <w:sz w:val="24"/>
          <w:szCs w:val="24"/>
        </w:rPr>
      </w:pPr>
      <w:r w:rsidRPr="1FB97253">
        <w:rPr>
          <w:rFonts w:ascii="Calibri" w:eastAsia="Calibri" w:hAnsi="Calibri" w:cs="Calibri"/>
          <w:sz w:val="24"/>
          <w:szCs w:val="24"/>
        </w:rPr>
        <w:t>Use the ‘your rationale’ column to explain in brief your reason for each decision.</w:t>
      </w:r>
    </w:p>
    <w:p w14:paraId="14417251" w14:textId="159FD778" w:rsidR="3F67712E" w:rsidRDefault="3F67712E" w:rsidP="1FB97253">
      <w:pPr>
        <w:pStyle w:val="ListParagraph"/>
        <w:numPr>
          <w:ilvl w:val="0"/>
          <w:numId w:val="1"/>
        </w:numPr>
        <w:spacing w:after="0" w:line="240" w:lineRule="auto"/>
        <w:rPr>
          <w:sz w:val="24"/>
          <w:szCs w:val="24"/>
        </w:rPr>
      </w:pPr>
      <w:r w:rsidRPr="1FB97253">
        <w:rPr>
          <w:rFonts w:ascii="Calibri" w:eastAsia="Calibri" w:hAnsi="Calibri" w:cs="Calibri"/>
          <w:sz w:val="24"/>
          <w:szCs w:val="24"/>
        </w:rPr>
        <w:t xml:space="preserve">Copy and paste your completed matrix into Section 3 of your Case for Support form. </w:t>
      </w:r>
    </w:p>
    <w:p w14:paraId="075C6385" w14:textId="63E8B7F8" w:rsidR="1FB97253" w:rsidRDefault="1FB97253" w:rsidP="1FB97253">
      <w:pPr>
        <w:spacing w:after="0" w:line="240" w:lineRule="auto"/>
        <w:rPr>
          <w:rFonts w:ascii="Calibri" w:eastAsia="Calibri" w:hAnsi="Calibri" w:cs="Calibri"/>
          <w:sz w:val="24"/>
          <w:szCs w:val="24"/>
        </w:rPr>
      </w:pPr>
    </w:p>
    <w:p w14:paraId="064FE709" w14:textId="643D6349" w:rsidR="1FB97253" w:rsidRDefault="1FB97253" w:rsidP="1FB97253">
      <w:pPr>
        <w:spacing w:after="0" w:line="240" w:lineRule="auto"/>
        <w:rPr>
          <w:rFonts w:ascii="Calibri" w:eastAsia="Calibri" w:hAnsi="Calibri" w:cs="Calibri"/>
          <w:sz w:val="24"/>
          <w:szCs w:val="24"/>
        </w:rPr>
      </w:pPr>
    </w:p>
    <w:p w14:paraId="65C6BC78" w14:textId="2C9CEC00" w:rsidR="564C466E" w:rsidRDefault="564C466E" w:rsidP="1FB97253">
      <w:pPr>
        <w:spacing w:after="0" w:line="240" w:lineRule="auto"/>
        <w:rPr>
          <w:rFonts w:ascii="Calibri" w:eastAsia="Calibri" w:hAnsi="Calibri" w:cs="Calibri"/>
          <w:sz w:val="24"/>
          <w:szCs w:val="24"/>
        </w:rPr>
      </w:pPr>
      <w:r w:rsidRPr="1FB97253">
        <w:rPr>
          <w:rFonts w:ascii="Calibri" w:eastAsia="Calibri" w:hAnsi="Calibri" w:cs="Calibri"/>
          <w:sz w:val="24"/>
          <w:szCs w:val="24"/>
          <w:lang w:val="en-US"/>
        </w:rPr>
        <w:lastRenderedPageBreak/>
        <w:t>EDGE analysis matrix to self-assess departmental support for Public Engagement with Research (PER):</w:t>
      </w:r>
    </w:p>
    <w:tbl>
      <w:tblPr>
        <w:tblStyle w:val="TableGrid"/>
        <w:tblW w:w="0" w:type="auto"/>
        <w:tblLayout w:type="fixed"/>
        <w:tblLook w:val="06A0" w:firstRow="1" w:lastRow="0" w:firstColumn="1" w:lastColumn="0" w:noHBand="1" w:noVBand="1"/>
      </w:tblPr>
      <w:tblGrid>
        <w:gridCol w:w="1502"/>
        <w:gridCol w:w="1502"/>
        <w:gridCol w:w="1502"/>
        <w:gridCol w:w="1502"/>
        <w:gridCol w:w="1502"/>
        <w:gridCol w:w="1502"/>
      </w:tblGrid>
      <w:tr w:rsidR="1FB97253" w14:paraId="561E17BD" w14:textId="77777777" w:rsidTr="1FB97253">
        <w:tc>
          <w:tcPr>
            <w:tcW w:w="1502" w:type="dxa"/>
          </w:tcPr>
          <w:p w14:paraId="2FE7DD64" w14:textId="04EE6C7B"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b/>
                <w:bCs/>
                <w:color w:val="000000" w:themeColor="text1"/>
                <w:sz w:val="24"/>
                <w:szCs w:val="24"/>
                <w:lang w:val="en-US"/>
              </w:rPr>
              <w:t>Focus</w:t>
            </w:r>
          </w:p>
        </w:tc>
        <w:tc>
          <w:tcPr>
            <w:tcW w:w="1502" w:type="dxa"/>
          </w:tcPr>
          <w:p w14:paraId="2E6B2CF5" w14:textId="0C4183D9"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b/>
                <w:bCs/>
                <w:color w:val="000000" w:themeColor="text1"/>
                <w:sz w:val="24"/>
                <w:szCs w:val="24"/>
                <w:lang w:val="en-US"/>
              </w:rPr>
              <w:t>Embryonic</w:t>
            </w:r>
          </w:p>
        </w:tc>
        <w:tc>
          <w:tcPr>
            <w:tcW w:w="1502" w:type="dxa"/>
          </w:tcPr>
          <w:p w14:paraId="2D668B56" w14:textId="4BB17136"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b/>
                <w:bCs/>
                <w:color w:val="000000" w:themeColor="text1"/>
                <w:sz w:val="24"/>
                <w:szCs w:val="24"/>
                <w:lang w:val="en-US"/>
              </w:rPr>
              <w:t>Developing</w:t>
            </w:r>
          </w:p>
        </w:tc>
        <w:tc>
          <w:tcPr>
            <w:tcW w:w="1502" w:type="dxa"/>
          </w:tcPr>
          <w:p w14:paraId="54C6FDA9" w14:textId="48212449"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b/>
                <w:bCs/>
                <w:color w:val="000000" w:themeColor="text1"/>
                <w:sz w:val="24"/>
                <w:szCs w:val="24"/>
                <w:lang w:val="en-US"/>
              </w:rPr>
              <w:t>Gripping</w:t>
            </w:r>
          </w:p>
        </w:tc>
        <w:tc>
          <w:tcPr>
            <w:tcW w:w="1502" w:type="dxa"/>
          </w:tcPr>
          <w:p w14:paraId="4ADE076A" w14:textId="37A619FD"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b/>
                <w:bCs/>
                <w:color w:val="000000" w:themeColor="text1"/>
                <w:sz w:val="24"/>
                <w:szCs w:val="24"/>
                <w:lang w:val="en-US"/>
              </w:rPr>
              <w:t>Embedding</w:t>
            </w:r>
          </w:p>
        </w:tc>
        <w:tc>
          <w:tcPr>
            <w:tcW w:w="1502" w:type="dxa"/>
          </w:tcPr>
          <w:p w14:paraId="5A20468C" w14:textId="251ACDED" w:rsidR="60B9A1EB" w:rsidRDefault="60B9A1EB" w:rsidP="1FB97253">
            <w:pPr>
              <w:rPr>
                <w:rFonts w:ascii="Calibri" w:eastAsia="Calibri" w:hAnsi="Calibri" w:cs="Calibri"/>
                <w:b/>
                <w:bCs/>
                <w:color w:val="000000" w:themeColor="text1"/>
                <w:sz w:val="24"/>
                <w:szCs w:val="24"/>
                <w:lang w:val="en-US"/>
              </w:rPr>
            </w:pPr>
            <w:r w:rsidRPr="1FB97253">
              <w:rPr>
                <w:rFonts w:ascii="Calibri" w:eastAsia="Calibri" w:hAnsi="Calibri" w:cs="Calibri"/>
                <w:b/>
                <w:bCs/>
                <w:color w:val="000000" w:themeColor="text1"/>
                <w:sz w:val="24"/>
                <w:szCs w:val="24"/>
                <w:lang w:val="en-US"/>
              </w:rPr>
              <w:t>Your rationale</w:t>
            </w:r>
          </w:p>
        </w:tc>
      </w:tr>
      <w:tr w:rsidR="1FB97253" w14:paraId="4648BAC0" w14:textId="77777777" w:rsidTr="1FB97253">
        <w:tc>
          <w:tcPr>
            <w:tcW w:w="1502" w:type="dxa"/>
          </w:tcPr>
          <w:p w14:paraId="2C2CAAB2" w14:textId="37583EE1"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Mission</w:t>
            </w:r>
          </w:p>
        </w:tc>
        <w:tc>
          <w:tcPr>
            <w:tcW w:w="1502" w:type="dxa"/>
          </w:tcPr>
          <w:p w14:paraId="3B6C7F72" w14:textId="32144BEA"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There is little or no reference to Public Engagement with Research in the departmental mission or in other department-wide strategies/ vision documents.</w:t>
            </w:r>
          </w:p>
          <w:p w14:paraId="53F98E84" w14:textId="5E5B1660" w:rsidR="1FB97253" w:rsidRDefault="1FB97253" w:rsidP="1FB97253">
            <w:pPr>
              <w:rPr>
                <w:rFonts w:ascii="Calibri" w:eastAsia="Calibri" w:hAnsi="Calibri" w:cs="Calibri"/>
                <w:sz w:val="18"/>
                <w:szCs w:val="18"/>
              </w:rPr>
            </w:pPr>
          </w:p>
        </w:tc>
        <w:tc>
          <w:tcPr>
            <w:tcW w:w="1502" w:type="dxa"/>
          </w:tcPr>
          <w:p w14:paraId="054775F7" w14:textId="00A25054"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Public Engagement with Research is referenced sporadically within departmental mission documents and strategies, but is not considered a priority area</w:t>
            </w:r>
          </w:p>
          <w:p w14:paraId="727212A2" w14:textId="187048DC" w:rsidR="1FB97253" w:rsidRDefault="1FB97253" w:rsidP="1FB97253">
            <w:pPr>
              <w:rPr>
                <w:rFonts w:ascii="Calibri" w:eastAsia="Calibri" w:hAnsi="Calibri" w:cs="Calibri"/>
                <w:sz w:val="18"/>
                <w:szCs w:val="18"/>
              </w:rPr>
            </w:pPr>
          </w:p>
        </w:tc>
        <w:tc>
          <w:tcPr>
            <w:tcW w:w="1502" w:type="dxa"/>
          </w:tcPr>
          <w:p w14:paraId="1DF5BE21" w14:textId="23CF9426"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Public Engagement with Research is clearly referenced within the departmental mission and strategies and the department is developing a department-wide strategic approach</w:t>
            </w:r>
          </w:p>
          <w:p w14:paraId="3DAAFF01" w14:textId="0917AC80" w:rsidR="1FB97253" w:rsidRDefault="1FB97253" w:rsidP="1FB97253">
            <w:pPr>
              <w:rPr>
                <w:rFonts w:ascii="Calibri" w:eastAsia="Calibri" w:hAnsi="Calibri" w:cs="Calibri"/>
                <w:sz w:val="18"/>
                <w:szCs w:val="18"/>
              </w:rPr>
            </w:pPr>
          </w:p>
        </w:tc>
        <w:tc>
          <w:tcPr>
            <w:tcW w:w="1502" w:type="dxa"/>
          </w:tcPr>
          <w:p w14:paraId="7C744C03" w14:textId="6650317B"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Public Engagement with Research is </w:t>
            </w:r>
            <w:proofErr w:type="spellStart"/>
            <w:r w:rsidRPr="1FB97253">
              <w:rPr>
                <w:rFonts w:ascii="Calibri" w:eastAsia="Calibri" w:hAnsi="Calibri" w:cs="Calibri"/>
                <w:color w:val="000000" w:themeColor="text1"/>
                <w:sz w:val="18"/>
                <w:szCs w:val="18"/>
                <w:lang w:val="en-US"/>
              </w:rPr>
              <w:t>prioritised</w:t>
            </w:r>
            <w:proofErr w:type="spellEnd"/>
            <w:r w:rsidRPr="1FB97253">
              <w:rPr>
                <w:rFonts w:ascii="Calibri" w:eastAsia="Calibri" w:hAnsi="Calibri" w:cs="Calibri"/>
                <w:color w:val="000000" w:themeColor="text1"/>
                <w:sz w:val="18"/>
                <w:szCs w:val="18"/>
                <w:lang w:val="en-US"/>
              </w:rPr>
              <w:t xml:space="preserve"> in the official departmental mission and in other key strategies, with success indicators identified. It is a key consideration in strategic developments in the department.</w:t>
            </w:r>
          </w:p>
        </w:tc>
        <w:tc>
          <w:tcPr>
            <w:tcW w:w="1502" w:type="dxa"/>
          </w:tcPr>
          <w:p w14:paraId="05FC5D5D" w14:textId="7C1F7E00" w:rsidR="1FB97253" w:rsidRDefault="1FB97253" w:rsidP="1FB97253">
            <w:pPr>
              <w:rPr>
                <w:rFonts w:ascii="Calibri" w:eastAsia="Calibri" w:hAnsi="Calibri" w:cs="Calibri"/>
                <w:color w:val="000000" w:themeColor="text1"/>
                <w:sz w:val="18"/>
                <w:szCs w:val="18"/>
                <w:lang w:val="en-US"/>
              </w:rPr>
            </w:pPr>
          </w:p>
        </w:tc>
      </w:tr>
      <w:tr w:rsidR="1FB97253" w14:paraId="73773362" w14:textId="77777777" w:rsidTr="1FB97253">
        <w:tc>
          <w:tcPr>
            <w:tcW w:w="1502" w:type="dxa"/>
          </w:tcPr>
          <w:p w14:paraId="4A3D00EE" w14:textId="3816A487"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Leadership</w:t>
            </w:r>
          </w:p>
        </w:tc>
        <w:tc>
          <w:tcPr>
            <w:tcW w:w="1502" w:type="dxa"/>
          </w:tcPr>
          <w:p w14:paraId="6973B712" w14:textId="6F1FF6C4"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Few (if any) of the most influential leaders in the department serve as champions for Public Engagement with Research</w:t>
            </w:r>
          </w:p>
          <w:p w14:paraId="0A10C1B7" w14:textId="6090DFD8" w:rsidR="1FB97253" w:rsidRDefault="1FB97253" w:rsidP="1FB97253">
            <w:pPr>
              <w:rPr>
                <w:rFonts w:ascii="Calibri" w:eastAsia="Calibri" w:hAnsi="Calibri" w:cs="Calibri"/>
                <w:sz w:val="18"/>
                <w:szCs w:val="18"/>
              </w:rPr>
            </w:pPr>
          </w:p>
        </w:tc>
        <w:tc>
          <w:tcPr>
            <w:tcW w:w="1502" w:type="dxa"/>
          </w:tcPr>
          <w:p w14:paraId="25F0066B" w14:textId="47C4613D"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Some of the department’s senior team act as informal champions for Public Engagement with Research</w:t>
            </w:r>
          </w:p>
          <w:p w14:paraId="6E0EA952" w14:textId="1FC8921A" w:rsidR="1FB97253" w:rsidRDefault="1FB97253" w:rsidP="1FB97253">
            <w:pPr>
              <w:rPr>
                <w:rFonts w:ascii="Calibri" w:eastAsia="Calibri" w:hAnsi="Calibri" w:cs="Calibri"/>
                <w:sz w:val="18"/>
                <w:szCs w:val="18"/>
              </w:rPr>
            </w:pPr>
          </w:p>
        </w:tc>
        <w:tc>
          <w:tcPr>
            <w:tcW w:w="1502" w:type="dxa"/>
          </w:tcPr>
          <w:p w14:paraId="7476A2A5" w14:textId="0058AA7C"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Some of the department’s senior team act as formal champions for Public Engagement with Research</w:t>
            </w:r>
          </w:p>
          <w:p w14:paraId="4DF6688E" w14:textId="062EF4EB" w:rsidR="1FB97253" w:rsidRDefault="1FB97253" w:rsidP="1FB97253">
            <w:pPr>
              <w:rPr>
                <w:rFonts w:ascii="Calibri" w:eastAsia="Calibri" w:hAnsi="Calibri" w:cs="Calibri"/>
                <w:sz w:val="18"/>
                <w:szCs w:val="18"/>
              </w:rPr>
            </w:pPr>
          </w:p>
        </w:tc>
        <w:tc>
          <w:tcPr>
            <w:tcW w:w="1502" w:type="dxa"/>
          </w:tcPr>
          <w:p w14:paraId="2B80B2DD" w14:textId="27C409BB"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The Head of Department acts as a champion for PER and a senior leader takes formal responsibility. All senior leaders </w:t>
            </w:r>
            <w:proofErr w:type="gramStart"/>
            <w:r w:rsidRPr="1FB97253">
              <w:rPr>
                <w:rFonts w:ascii="Calibri" w:eastAsia="Calibri" w:hAnsi="Calibri" w:cs="Calibri"/>
                <w:color w:val="000000" w:themeColor="text1"/>
                <w:sz w:val="18"/>
                <w:szCs w:val="18"/>
                <w:lang w:val="en-US"/>
              </w:rPr>
              <w:t>have an understanding of</w:t>
            </w:r>
            <w:proofErr w:type="gramEnd"/>
            <w:r w:rsidRPr="1FB97253">
              <w:rPr>
                <w:rFonts w:ascii="Calibri" w:eastAsia="Calibri" w:hAnsi="Calibri" w:cs="Calibri"/>
                <w:color w:val="000000" w:themeColor="text1"/>
                <w:sz w:val="18"/>
                <w:szCs w:val="18"/>
                <w:lang w:val="en-US"/>
              </w:rPr>
              <w:t xml:space="preserve"> the importance and value of Public Engagement with Research to the department’s agenda</w:t>
            </w:r>
          </w:p>
          <w:p w14:paraId="3BABF63C" w14:textId="170F785F" w:rsidR="1FB97253" w:rsidRDefault="1FB97253" w:rsidP="1FB97253">
            <w:pPr>
              <w:rPr>
                <w:rFonts w:ascii="Calibri" w:eastAsia="Calibri" w:hAnsi="Calibri" w:cs="Calibri"/>
                <w:sz w:val="18"/>
                <w:szCs w:val="18"/>
              </w:rPr>
            </w:pPr>
          </w:p>
        </w:tc>
        <w:tc>
          <w:tcPr>
            <w:tcW w:w="1502" w:type="dxa"/>
          </w:tcPr>
          <w:p w14:paraId="6050F5FD" w14:textId="36089F0F" w:rsidR="1FB97253" w:rsidRDefault="1FB97253" w:rsidP="1FB97253">
            <w:pPr>
              <w:rPr>
                <w:rFonts w:ascii="Calibri" w:eastAsia="Calibri" w:hAnsi="Calibri" w:cs="Calibri"/>
                <w:color w:val="000000" w:themeColor="text1"/>
                <w:sz w:val="18"/>
                <w:szCs w:val="18"/>
                <w:lang w:val="en-US"/>
              </w:rPr>
            </w:pPr>
          </w:p>
        </w:tc>
      </w:tr>
      <w:tr w:rsidR="1FB97253" w14:paraId="13DB0136" w14:textId="77777777" w:rsidTr="1FB97253">
        <w:tc>
          <w:tcPr>
            <w:tcW w:w="1502" w:type="dxa"/>
          </w:tcPr>
          <w:p w14:paraId="117B7E05" w14:textId="0B9E7A8D"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Communication</w:t>
            </w:r>
          </w:p>
        </w:tc>
        <w:tc>
          <w:tcPr>
            <w:tcW w:w="1502" w:type="dxa"/>
          </w:tcPr>
          <w:p w14:paraId="65AD9CDF" w14:textId="02E9EFCA"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 department’s commitment to Public Engagement with Research is rarely if ever featured in internal or external communications</w:t>
            </w:r>
          </w:p>
          <w:p w14:paraId="647FB7FE" w14:textId="70B8216B" w:rsidR="1FB97253" w:rsidRDefault="1FB97253" w:rsidP="1FB97253">
            <w:pPr>
              <w:rPr>
                <w:rFonts w:ascii="Calibri" w:eastAsia="Calibri" w:hAnsi="Calibri" w:cs="Calibri"/>
                <w:sz w:val="18"/>
                <w:szCs w:val="18"/>
              </w:rPr>
            </w:pPr>
          </w:p>
        </w:tc>
        <w:tc>
          <w:tcPr>
            <w:tcW w:w="1502" w:type="dxa"/>
          </w:tcPr>
          <w:p w14:paraId="19EB51E6" w14:textId="1EC336E0"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Public Engagement with Research occasionally features in internal and external communications</w:t>
            </w:r>
          </w:p>
          <w:p w14:paraId="71308C83" w14:textId="35673F1E" w:rsidR="1FB97253" w:rsidRDefault="1FB97253" w:rsidP="1FB97253">
            <w:pPr>
              <w:rPr>
                <w:rFonts w:ascii="Calibri" w:eastAsia="Calibri" w:hAnsi="Calibri" w:cs="Calibri"/>
                <w:sz w:val="18"/>
                <w:szCs w:val="18"/>
              </w:rPr>
            </w:pPr>
          </w:p>
        </w:tc>
        <w:tc>
          <w:tcPr>
            <w:tcW w:w="1502" w:type="dxa"/>
          </w:tcPr>
          <w:p w14:paraId="7D4249B1" w14:textId="0762D863"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Public Engagement with Research frequently features in internal communications, but rarely as a </w:t>
            </w:r>
            <w:proofErr w:type="gramStart"/>
            <w:r w:rsidRPr="1FB97253">
              <w:rPr>
                <w:rFonts w:ascii="Calibri" w:eastAsia="Calibri" w:hAnsi="Calibri" w:cs="Calibri"/>
                <w:color w:val="000000" w:themeColor="text1"/>
                <w:sz w:val="18"/>
                <w:szCs w:val="18"/>
                <w:lang w:val="en-US"/>
              </w:rPr>
              <w:t>high profile</w:t>
            </w:r>
            <w:proofErr w:type="gramEnd"/>
            <w:r w:rsidRPr="1FB97253">
              <w:rPr>
                <w:rFonts w:ascii="Calibri" w:eastAsia="Calibri" w:hAnsi="Calibri" w:cs="Calibri"/>
                <w:color w:val="000000" w:themeColor="text1"/>
                <w:sz w:val="18"/>
                <w:szCs w:val="18"/>
                <w:lang w:val="en-US"/>
              </w:rPr>
              <w:t xml:space="preserve"> item or with an emphasis on its strategic importance</w:t>
            </w:r>
          </w:p>
        </w:tc>
        <w:tc>
          <w:tcPr>
            <w:tcW w:w="1502" w:type="dxa"/>
          </w:tcPr>
          <w:p w14:paraId="407CB6C2" w14:textId="3991B268"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Public Engagement with Research appears prominently in the department’s internal communications; its strategic importance is highlighted, and resources and strategic support have been allocated to sustain this</w:t>
            </w:r>
          </w:p>
          <w:p w14:paraId="0ABAAA3D" w14:textId="001C2CEB" w:rsidR="1FB97253" w:rsidRDefault="1FB97253" w:rsidP="1FB97253">
            <w:pPr>
              <w:rPr>
                <w:rFonts w:ascii="Calibri" w:eastAsia="Calibri" w:hAnsi="Calibri" w:cs="Calibri"/>
                <w:sz w:val="18"/>
                <w:szCs w:val="18"/>
              </w:rPr>
            </w:pPr>
          </w:p>
        </w:tc>
        <w:tc>
          <w:tcPr>
            <w:tcW w:w="1502" w:type="dxa"/>
          </w:tcPr>
          <w:p w14:paraId="36F441ED" w14:textId="2A7C539A" w:rsidR="1FB97253" w:rsidRDefault="1FB97253" w:rsidP="1FB97253">
            <w:pPr>
              <w:rPr>
                <w:rFonts w:ascii="Calibri" w:eastAsia="Calibri" w:hAnsi="Calibri" w:cs="Calibri"/>
                <w:color w:val="000000" w:themeColor="text1"/>
                <w:sz w:val="18"/>
                <w:szCs w:val="18"/>
                <w:lang w:val="en-US"/>
              </w:rPr>
            </w:pPr>
          </w:p>
        </w:tc>
      </w:tr>
      <w:tr w:rsidR="1FB97253" w14:paraId="518C59E4" w14:textId="77777777" w:rsidTr="1FB97253">
        <w:tc>
          <w:tcPr>
            <w:tcW w:w="1502" w:type="dxa"/>
          </w:tcPr>
          <w:p w14:paraId="250E8FD1" w14:textId="2DA9B6EC"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Support</w:t>
            </w:r>
          </w:p>
        </w:tc>
        <w:tc>
          <w:tcPr>
            <w:tcW w:w="1502" w:type="dxa"/>
          </w:tcPr>
          <w:p w14:paraId="50D7EC95" w14:textId="0680567F"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There is no attempt to co-ordinate Public Engagement with Research activity </w:t>
            </w:r>
            <w:r w:rsidRPr="1FB97253">
              <w:rPr>
                <w:rFonts w:ascii="Calibri" w:eastAsia="Calibri" w:hAnsi="Calibri" w:cs="Calibri"/>
                <w:color w:val="000000" w:themeColor="text1"/>
                <w:sz w:val="18"/>
                <w:szCs w:val="18"/>
                <w:lang w:val="en-US"/>
              </w:rPr>
              <w:lastRenderedPageBreak/>
              <w:t>or to network learning and expertise across the department</w:t>
            </w:r>
          </w:p>
          <w:p w14:paraId="365CAE87" w14:textId="14317993" w:rsidR="1FB97253" w:rsidRDefault="1FB97253" w:rsidP="1FB97253">
            <w:pPr>
              <w:rPr>
                <w:rFonts w:ascii="Calibri" w:eastAsia="Calibri" w:hAnsi="Calibri" w:cs="Calibri"/>
                <w:sz w:val="18"/>
                <w:szCs w:val="18"/>
              </w:rPr>
            </w:pPr>
          </w:p>
        </w:tc>
        <w:tc>
          <w:tcPr>
            <w:tcW w:w="1502" w:type="dxa"/>
          </w:tcPr>
          <w:p w14:paraId="31E2199A" w14:textId="09B028D1"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 xml:space="preserve">There are some informal attempts being made to co-ordinate Public </w:t>
            </w:r>
            <w:r w:rsidRPr="1FB97253">
              <w:rPr>
                <w:rFonts w:ascii="Calibri" w:eastAsia="Calibri" w:hAnsi="Calibri" w:cs="Calibri"/>
                <w:color w:val="000000" w:themeColor="text1"/>
                <w:sz w:val="18"/>
                <w:szCs w:val="18"/>
                <w:lang w:val="en-US"/>
              </w:rPr>
              <w:lastRenderedPageBreak/>
              <w:t>Engagement with Research activities, but there is no strategic plan for this work. Some self-forming networks exist, not supported by the department</w:t>
            </w:r>
          </w:p>
          <w:p w14:paraId="1B25C7D1" w14:textId="32C6844B" w:rsidR="1FB97253" w:rsidRDefault="1FB97253" w:rsidP="1FB97253">
            <w:pPr>
              <w:rPr>
                <w:rFonts w:ascii="Calibri" w:eastAsia="Calibri" w:hAnsi="Calibri" w:cs="Calibri"/>
                <w:sz w:val="18"/>
                <w:szCs w:val="18"/>
              </w:rPr>
            </w:pPr>
          </w:p>
        </w:tc>
        <w:tc>
          <w:tcPr>
            <w:tcW w:w="1502" w:type="dxa"/>
          </w:tcPr>
          <w:p w14:paraId="08B2779D" w14:textId="2779D0F4"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 xml:space="preserve">Oversight and co-ordination of Public Engagement with Research has </w:t>
            </w:r>
            <w:r w:rsidRPr="1FB97253">
              <w:rPr>
                <w:rFonts w:ascii="Calibri" w:eastAsia="Calibri" w:hAnsi="Calibri" w:cs="Calibri"/>
                <w:color w:val="000000" w:themeColor="text1"/>
                <w:sz w:val="18"/>
                <w:szCs w:val="18"/>
                <w:lang w:val="en-US"/>
              </w:rPr>
              <w:lastRenderedPageBreak/>
              <w:t>been formally allocated (</w:t>
            </w:r>
            <w:proofErr w:type="gramStart"/>
            <w:r w:rsidRPr="1FB97253">
              <w:rPr>
                <w:rFonts w:ascii="Calibri" w:eastAsia="Calibri" w:hAnsi="Calibri" w:cs="Calibri"/>
                <w:color w:val="000000" w:themeColor="text1"/>
                <w:sz w:val="18"/>
                <w:szCs w:val="18"/>
                <w:lang w:val="en-US"/>
              </w:rPr>
              <w:t>e.g.</w:t>
            </w:r>
            <w:proofErr w:type="gramEnd"/>
            <w:r w:rsidRPr="1FB97253">
              <w:rPr>
                <w:rFonts w:ascii="Calibri" w:eastAsia="Calibri" w:hAnsi="Calibri" w:cs="Calibri"/>
                <w:color w:val="000000" w:themeColor="text1"/>
                <w:sz w:val="18"/>
                <w:szCs w:val="18"/>
                <w:lang w:val="en-US"/>
              </w:rPr>
              <w:t xml:space="preserve"> to a working group or committee) but there is minimal support and resource to invest in activity</w:t>
            </w:r>
          </w:p>
          <w:p w14:paraId="6254A400" w14:textId="296C8867" w:rsidR="1FB97253" w:rsidRDefault="1FB97253" w:rsidP="1FB97253">
            <w:pPr>
              <w:rPr>
                <w:rFonts w:ascii="Calibri" w:eastAsia="Calibri" w:hAnsi="Calibri" w:cs="Calibri"/>
                <w:sz w:val="18"/>
                <w:szCs w:val="18"/>
              </w:rPr>
            </w:pPr>
          </w:p>
        </w:tc>
        <w:tc>
          <w:tcPr>
            <w:tcW w:w="1502" w:type="dxa"/>
          </w:tcPr>
          <w:p w14:paraId="7BBBCBCB" w14:textId="50F9DA77"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The department has a strategic plan to focus its coordination, a body/</w:t>
            </w:r>
            <w:proofErr w:type="spellStart"/>
            <w:r w:rsidRPr="1FB97253">
              <w:rPr>
                <w:rFonts w:ascii="Calibri" w:eastAsia="Calibri" w:hAnsi="Calibri" w:cs="Calibri"/>
                <w:color w:val="000000" w:themeColor="text1"/>
                <w:sz w:val="18"/>
                <w:szCs w:val="18"/>
                <w:lang w:val="en-US"/>
              </w:rPr>
              <w:t>ies</w:t>
            </w:r>
            <w:proofErr w:type="spellEnd"/>
            <w:r w:rsidRPr="1FB97253">
              <w:rPr>
                <w:rFonts w:ascii="Calibri" w:eastAsia="Calibri" w:hAnsi="Calibri" w:cs="Calibri"/>
                <w:color w:val="000000" w:themeColor="text1"/>
                <w:sz w:val="18"/>
                <w:szCs w:val="18"/>
                <w:lang w:val="en-US"/>
              </w:rPr>
              <w:t xml:space="preserve"> with </w:t>
            </w:r>
            <w:r w:rsidRPr="1FB97253">
              <w:rPr>
                <w:rFonts w:ascii="Calibri" w:eastAsia="Calibri" w:hAnsi="Calibri" w:cs="Calibri"/>
                <w:color w:val="000000" w:themeColor="text1"/>
                <w:sz w:val="18"/>
                <w:szCs w:val="18"/>
                <w:lang w:val="en-US"/>
              </w:rPr>
              <w:lastRenderedPageBreak/>
              <w:t xml:space="preserve">formal responsibility for oversight of this plan, and resources available to assist the embedding of Public Engagement with Research. There are </w:t>
            </w:r>
            <w:proofErr w:type="gramStart"/>
            <w:r w:rsidRPr="1FB97253">
              <w:rPr>
                <w:rFonts w:ascii="Calibri" w:eastAsia="Calibri" w:hAnsi="Calibri" w:cs="Calibri"/>
                <w:color w:val="000000" w:themeColor="text1"/>
                <w:sz w:val="18"/>
                <w:szCs w:val="18"/>
                <w:lang w:val="en-US"/>
              </w:rPr>
              <w:t>a number of</w:t>
            </w:r>
            <w:proofErr w:type="gramEnd"/>
            <w:r w:rsidRPr="1FB97253">
              <w:rPr>
                <w:rFonts w:ascii="Calibri" w:eastAsia="Calibri" w:hAnsi="Calibri" w:cs="Calibri"/>
                <w:color w:val="000000" w:themeColor="text1"/>
                <w:sz w:val="18"/>
                <w:szCs w:val="18"/>
                <w:lang w:val="en-US"/>
              </w:rPr>
              <w:t xml:space="preserve"> recognised and supported networks</w:t>
            </w:r>
          </w:p>
          <w:p w14:paraId="09F029FB" w14:textId="6FDD3A06" w:rsidR="1FB97253" w:rsidRDefault="1FB97253" w:rsidP="1FB97253">
            <w:pPr>
              <w:rPr>
                <w:rFonts w:ascii="Calibri" w:eastAsia="Calibri" w:hAnsi="Calibri" w:cs="Calibri"/>
                <w:sz w:val="18"/>
                <w:szCs w:val="18"/>
              </w:rPr>
            </w:pPr>
          </w:p>
        </w:tc>
        <w:tc>
          <w:tcPr>
            <w:tcW w:w="1502" w:type="dxa"/>
          </w:tcPr>
          <w:p w14:paraId="6E4A32C4" w14:textId="20A3ED56" w:rsidR="1FB97253" w:rsidRDefault="1FB97253" w:rsidP="1FB97253">
            <w:pPr>
              <w:rPr>
                <w:rFonts w:ascii="Calibri" w:eastAsia="Calibri" w:hAnsi="Calibri" w:cs="Calibri"/>
                <w:color w:val="000000" w:themeColor="text1"/>
                <w:sz w:val="18"/>
                <w:szCs w:val="18"/>
                <w:lang w:val="en-US"/>
              </w:rPr>
            </w:pPr>
          </w:p>
        </w:tc>
      </w:tr>
      <w:tr w:rsidR="1FB97253" w14:paraId="48B00EF0" w14:textId="77777777" w:rsidTr="1FB97253">
        <w:tc>
          <w:tcPr>
            <w:tcW w:w="1502" w:type="dxa"/>
          </w:tcPr>
          <w:p w14:paraId="5FEAEB43" w14:textId="43725B07"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Learning</w:t>
            </w:r>
          </w:p>
          <w:p w14:paraId="6DFE32E2" w14:textId="0CDD39B5" w:rsidR="1FB97253" w:rsidRDefault="1FB97253" w:rsidP="1FB97253">
            <w:pPr>
              <w:rPr>
                <w:rFonts w:ascii="Calibri" w:eastAsia="Calibri" w:hAnsi="Calibri" w:cs="Calibri"/>
                <w:sz w:val="24"/>
                <w:szCs w:val="24"/>
              </w:rPr>
            </w:pPr>
          </w:p>
        </w:tc>
        <w:tc>
          <w:tcPr>
            <w:tcW w:w="1502" w:type="dxa"/>
          </w:tcPr>
          <w:p w14:paraId="424636F3" w14:textId="681F2169"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There is little or no opportunity for staff or research students to access professional development to develop their skills &amp; knowledge of Public Engagement with Research</w:t>
            </w:r>
          </w:p>
          <w:p w14:paraId="64BFA9F7" w14:textId="53C8684F" w:rsidR="1FB97253" w:rsidRDefault="1FB97253" w:rsidP="1FB97253">
            <w:pPr>
              <w:rPr>
                <w:rFonts w:ascii="Calibri" w:eastAsia="Calibri" w:hAnsi="Calibri" w:cs="Calibri"/>
                <w:sz w:val="18"/>
                <w:szCs w:val="18"/>
              </w:rPr>
            </w:pPr>
          </w:p>
        </w:tc>
        <w:tc>
          <w:tcPr>
            <w:tcW w:w="1502" w:type="dxa"/>
          </w:tcPr>
          <w:p w14:paraId="7BF7E8DB" w14:textId="36393E8B"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There are some opportunities for staff or research students to access professional development and training in Public Engagement with Research, but no formal or systematic support</w:t>
            </w:r>
          </w:p>
          <w:p w14:paraId="7BB918FA" w14:textId="3F02B1FD" w:rsidR="1FB97253" w:rsidRDefault="1FB97253" w:rsidP="1FB97253">
            <w:pPr>
              <w:rPr>
                <w:rFonts w:ascii="Calibri" w:eastAsia="Calibri" w:hAnsi="Calibri" w:cs="Calibri"/>
                <w:sz w:val="18"/>
                <w:szCs w:val="18"/>
              </w:rPr>
            </w:pPr>
          </w:p>
        </w:tc>
        <w:tc>
          <w:tcPr>
            <w:tcW w:w="1502" w:type="dxa"/>
          </w:tcPr>
          <w:p w14:paraId="6A8DD8D5" w14:textId="68BB5763"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There are some formal opportunities for staff or research students to access professional development and training in Public Engagement with Research</w:t>
            </w:r>
          </w:p>
          <w:p w14:paraId="614BEF77" w14:textId="109C2562" w:rsidR="1FB97253" w:rsidRDefault="1FB97253" w:rsidP="1FB97253">
            <w:pPr>
              <w:rPr>
                <w:rFonts w:ascii="Calibri" w:eastAsia="Calibri" w:hAnsi="Calibri" w:cs="Calibri"/>
                <w:sz w:val="18"/>
                <w:szCs w:val="18"/>
              </w:rPr>
            </w:pPr>
          </w:p>
        </w:tc>
        <w:tc>
          <w:tcPr>
            <w:tcW w:w="1502" w:type="dxa"/>
          </w:tcPr>
          <w:p w14:paraId="579C1E3F" w14:textId="0E902A09"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Staff and research students are encouraged and supported in accessing professional development, </w:t>
            </w:r>
            <w:proofErr w:type="gramStart"/>
            <w:r w:rsidRPr="1FB97253">
              <w:rPr>
                <w:rFonts w:ascii="Calibri" w:eastAsia="Calibri" w:hAnsi="Calibri" w:cs="Calibri"/>
                <w:color w:val="000000" w:themeColor="text1"/>
                <w:sz w:val="18"/>
                <w:szCs w:val="18"/>
                <w:lang w:val="en-US"/>
              </w:rPr>
              <w:t>training</w:t>
            </w:r>
            <w:proofErr w:type="gramEnd"/>
            <w:r w:rsidRPr="1FB97253">
              <w:rPr>
                <w:rFonts w:ascii="Calibri" w:eastAsia="Calibri" w:hAnsi="Calibri" w:cs="Calibri"/>
                <w:color w:val="000000" w:themeColor="text1"/>
                <w:sz w:val="18"/>
                <w:szCs w:val="18"/>
                <w:lang w:val="en-US"/>
              </w:rPr>
              <w:t xml:space="preserve"> and informal learning to develop their skills and knowledge of Public Engagement with Research</w:t>
            </w:r>
          </w:p>
          <w:p w14:paraId="3485D2E9" w14:textId="109F344C" w:rsidR="1FB97253" w:rsidRDefault="1FB97253" w:rsidP="1FB97253">
            <w:pPr>
              <w:rPr>
                <w:rFonts w:ascii="Calibri" w:eastAsia="Calibri" w:hAnsi="Calibri" w:cs="Calibri"/>
                <w:sz w:val="18"/>
                <w:szCs w:val="18"/>
              </w:rPr>
            </w:pPr>
          </w:p>
        </w:tc>
        <w:tc>
          <w:tcPr>
            <w:tcW w:w="1502" w:type="dxa"/>
          </w:tcPr>
          <w:p w14:paraId="324CDECB" w14:textId="35726A8E" w:rsidR="1FB97253" w:rsidRDefault="1FB97253" w:rsidP="1FB97253">
            <w:pPr>
              <w:rPr>
                <w:rFonts w:ascii="Calibri" w:eastAsia="Calibri" w:hAnsi="Calibri" w:cs="Calibri"/>
                <w:color w:val="000000" w:themeColor="text1"/>
                <w:sz w:val="18"/>
                <w:szCs w:val="18"/>
                <w:lang w:val="en-US"/>
              </w:rPr>
            </w:pPr>
          </w:p>
        </w:tc>
      </w:tr>
      <w:tr w:rsidR="1FB97253" w14:paraId="08F78D79" w14:textId="77777777" w:rsidTr="1FB97253">
        <w:tc>
          <w:tcPr>
            <w:tcW w:w="1502" w:type="dxa"/>
          </w:tcPr>
          <w:p w14:paraId="3A83DDAE" w14:textId="61A20B0A"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Recognition</w:t>
            </w:r>
          </w:p>
          <w:p w14:paraId="04283976" w14:textId="062A7DE2" w:rsidR="1FB97253" w:rsidRDefault="1FB97253" w:rsidP="1FB97253">
            <w:pPr>
              <w:rPr>
                <w:rFonts w:ascii="Calibri" w:eastAsia="Calibri" w:hAnsi="Calibri" w:cs="Calibri"/>
                <w:sz w:val="24"/>
                <w:szCs w:val="24"/>
              </w:rPr>
            </w:pPr>
          </w:p>
        </w:tc>
        <w:tc>
          <w:tcPr>
            <w:tcW w:w="1502" w:type="dxa"/>
          </w:tcPr>
          <w:p w14:paraId="73FBF75D" w14:textId="1C8A000B"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Staff are not rewarded or recognised for their Public Engagement with Research activities</w:t>
            </w:r>
          </w:p>
          <w:p w14:paraId="0B74A24A" w14:textId="2917524F" w:rsidR="1FB97253" w:rsidRDefault="1FB97253" w:rsidP="1FB97253">
            <w:pPr>
              <w:rPr>
                <w:rFonts w:ascii="Calibri" w:eastAsia="Calibri" w:hAnsi="Calibri" w:cs="Calibri"/>
                <w:sz w:val="18"/>
                <w:szCs w:val="18"/>
              </w:rPr>
            </w:pPr>
          </w:p>
        </w:tc>
        <w:tc>
          <w:tcPr>
            <w:tcW w:w="1502" w:type="dxa"/>
          </w:tcPr>
          <w:p w14:paraId="69A70A97" w14:textId="36DE7EFC"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There is some reward and recognition for Public Engagement with Research activity on an ad hoc basis</w:t>
            </w:r>
          </w:p>
          <w:p w14:paraId="358EA073" w14:textId="00841F15" w:rsidR="1FB97253" w:rsidRDefault="1FB97253" w:rsidP="1FB97253">
            <w:pPr>
              <w:rPr>
                <w:rFonts w:ascii="Calibri" w:eastAsia="Calibri" w:hAnsi="Calibri" w:cs="Calibri"/>
                <w:sz w:val="18"/>
                <w:szCs w:val="18"/>
              </w:rPr>
            </w:pPr>
          </w:p>
        </w:tc>
        <w:tc>
          <w:tcPr>
            <w:tcW w:w="1502" w:type="dxa"/>
          </w:tcPr>
          <w:p w14:paraId="24EC6536" w14:textId="0CDC4EC1"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The department is working towards a department-wide policy for </w:t>
            </w:r>
            <w:proofErr w:type="spellStart"/>
            <w:r w:rsidRPr="1FB97253">
              <w:rPr>
                <w:rFonts w:ascii="Calibri" w:eastAsia="Calibri" w:hAnsi="Calibri" w:cs="Calibri"/>
                <w:color w:val="000000" w:themeColor="text1"/>
                <w:sz w:val="18"/>
                <w:szCs w:val="18"/>
                <w:lang w:val="en-US"/>
              </w:rPr>
              <w:t>recognising</w:t>
            </w:r>
            <w:proofErr w:type="spellEnd"/>
            <w:r w:rsidRPr="1FB97253">
              <w:rPr>
                <w:rFonts w:ascii="Calibri" w:eastAsia="Calibri" w:hAnsi="Calibri" w:cs="Calibri"/>
                <w:color w:val="000000" w:themeColor="text1"/>
                <w:sz w:val="18"/>
                <w:szCs w:val="18"/>
                <w:lang w:val="en-US"/>
              </w:rPr>
              <w:t xml:space="preserve"> and rewarding Public Engagement with Research activity</w:t>
            </w:r>
          </w:p>
          <w:p w14:paraId="5B781284" w14:textId="721CF1B3" w:rsidR="1FB97253" w:rsidRDefault="1FB97253" w:rsidP="1FB97253">
            <w:pPr>
              <w:rPr>
                <w:rFonts w:ascii="Calibri" w:eastAsia="Calibri" w:hAnsi="Calibri" w:cs="Calibri"/>
                <w:sz w:val="18"/>
                <w:szCs w:val="18"/>
              </w:rPr>
            </w:pPr>
          </w:p>
        </w:tc>
        <w:tc>
          <w:tcPr>
            <w:tcW w:w="1502" w:type="dxa"/>
          </w:tcPr>
          <w:p w14:paraId="43C2BB2A" w14:textId="51B4D587"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 department has reviewed its processes, and developed a policy to ensure Public Engagement with Research is rewarded &amp; recognised in formal and informal ways</w:t>
            </w:r>
          </w:p>
          <w:p w14:paraId="7C6DB635" w14:textId="0F34719C" w:rsidR="1FB97253" w:rsidRDefault="1FB97253" w:rsidP="1FB97253">
            <w:pPr>
              <w:rPr>
                <w:rFonts w:ascii="Calibri" w:eastAsia="Calibri" w:hAnsi="Calibri" w:cs="Calibri"/>
                <w:sz w:val="18"/>
                <w:szCs w:val="18"/>
              </w:rPr>
            </w:pPr>
          </w:p>
        </w:tc>
        <w:tc>
          <w:tcPr>
            <w:tcW w:w="1502" w:type="dxa"/>
          </w:tcPr>
          <w:p w14:paraId="1642F770" w14:textId="73C0E504" w:rsidR="1FB97253" w:rsidRDefault="1FB97253" w:rsidP="1FB97253">
            <w:pPr>
              <w:rPr>
                <w:rFonts w:ascii="Calibri" w:eastAsia="Calibri" w:hAnsi="Calibri" w:cs="Calibri"/>
                <w:color w:val="000000" w:themeColor="text1"/>
                <w:sz w:val="18"/>
                <w:szCs w:val="18"/>
                <w:lang w:val="en-US"/>
              </w:rPr>
            </w:pPr>
          </w:p>
        </w:tc>
      </w:tr>
      <w:tr w:rsidR="1FB97253" w14:paraId="0409C043" w14:textId="77777777" w:rsidTr="1FB97253">
        <w:tc>
          <w:tcPr>
            <w:tcW w:w="1502" w:type="dxa"/>
          </w:tcPr>
          <w:p w14:paraId="5F52537A" w14:textId="1C34237A"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Staff</w:t>
            </w:r>
          </w:p>
          <w:p w14:paraId="628E2CD5" w14:textId="32EF71B3" w:rsidR="1FB97253" w:rsidRDefault="1FB97253" w:rsidP="1FB97253">
            <w:pPr>
              <w:rPr>
                <w:rFonts w:ascii="Calibri" w:eastAsia="Calibri" w:hAnsi="Calibri" w:cs="Calibri"/>
                <w:sz w:val="24"/>
                <w:szCs w:val="24"/>
              </w:rPr>
            </w:pPr>
          </w:p>
        </w:tc>
        <w:tc>
          <w:tcPr>
            <w:tcW w:w="1502" w:type="dxa"/>
          </w:tcPr>
          <w:p w14:paraId="7DB809D1" w14:textId="15D3661D"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Few if any opportunities exist for staff to get involved in Public Engagement with Research, either informally or as part of their formal duties</w:t>
            </w:r>
          </w:p>
          <w:p w14:paraId="4983CE87" w14:textId="7102C334" w:rsidR="1FB97253" w:rsidRDefault="1FB97253" w:rsidP="1FB97253">
            <w:pPr>
              <w:rPr>
                <w:rFonts w:ascii="Calibri" w:eastAsia="Calibri" w:hAnsi="Calibri" w:cs="Calibri"/>
                <w:sz w:val="18"/>
                <w:szCs w:val="18"/>
              </w:rPr>
            </w:pPr>
          </w:p>
        </w:tc>
        <w:tc>
          <w:tcPr>
            <w:tcW w:w="1502" w:type="dxa"/>
          </w:tcPr>
          <w:p w14:paraId="7C0DBD42" w14:textId="6E194D66"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There are opportunities for a handful of staff to get involved in Public Engagement with Research, either informally or as part of their formal duties</w:t>
            </w:r>
          </w:p>
          <w:p w14:paraId="3FCD1751" w14:textId="736722E6" w:rsidR="1FB97253" w:rsidRDefault="1FB97253" w:rsidP="1FB97253">
            <w:pPr>
              <w:rPr>
                <w:rFonts w:ascii="Calibri" w:eastAsia="Calibri" w:hAnsi="Calibri" w:cs="Calibri"/>
                <w:sz w:val="18"/>
                <w:szCs w:val="18"/>
              </w:rPr>
            </w:pPr>
          </w:p>
        </w:tc>
        <w:tc>
          <w:tcPr>
            <w:tcW w:w="1502" w:type="dxa"/>
          </w:tcPr>
          <w:p w14:paraId="6BDC86BC" w14:textId="3C22AB5E"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There are structured opportunities for many staff members to get involved in Public Engagement with </w:t>
            </w:r>
            <w:proofErr w:type="gramStart"/>
            <w:r w:rsidRPr="1FB97253">
              <w:rPr>
                <w:rFonts w:ascii="Calibri" w:eastAsia="Calibri" w:hAnsi="Calibri" w:cs="Calibri"/>
                <w:color w:val="000000" w:themeColor="text1"/>
                <w:sz w:val="18"/>
                <w:szCs w:val="18"/>
                <w:lang w:val="en-US"/>
              </w:rPr>
              <w:t>Research;</w:t>
            </w:r>
            <w:proofErr w:type="gramEnd"/>
            <w:r w:rsidRPr="1FB97253">
              <w:rPr>
                <w:rFonts w:ascii="Calibri" w:eastAsia="Calibri" w:hAnsi="Calibri" w:cs="Calibri"/>
                <w:color w:val="000000" w:themeColor="text1"/>
                <w:sz w:val="18"/>
                <w:szCs w:val="18"/>
                <w:lang w:val="en-US"/>
              </w:rPr>
              <w:t xml:space="preserve"> but not consistently across the department. There is a drive to expand opportunities to all</w:t>
            </w:r>
          </w:p>
          <w:p w14:paraId="43AD0075" w14:textId="04379576" w:rsidR="1FB97253" w:rsidRDefault="1FB97253" w:rsidP="1FB97253">
            <w:pPr>
              <w:rPr>
                <w:rFonts w:ascii="Calibri" w:eastAsia="Calibri" w:hAnsi="Calibri" w:cs="Calibri"/>
                <w:sz w:val="18"/>
                <w:szCs w:val="18"/>
              </w:rPr>
            </w:pPr>
          </w:p>
        </w:tc>
        <w:tc>
          <w:tcPr>
            <w:tcW w:w="1502" w:type="dxa"/>
          </w:tcPr>
          <w:p w14:paraId="6563288C" w14:textId="35AC0B05"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All staff </w:t>
            </w:r>
            <w:proofErr w:type="gramStart"/>
            <w:r w:rsidRPr="1FB97253">
              <w:rPr>
                <w:rFonts w:ascii="Calibri" w:eastAsia="Calibri" w:hAnsi="Calibri" w:cs="Calibri"/>
                <w:color w:val="000000" w:themeColor="text1"/>
                <w:sz w:val="18"/>
                <w:szCs w:val="18"/>
                <w:lang w:val="en-US"/>
              </w:rPr>
              <w:t>have the opportunity to</w:t>
            </w:r>
            <w:proofErr w:type="gramEnd"/>
            <w:r w:rsidRPr="1FB97253">
              <w:rPr>
                <w:rFonts w:ascii="Calibri" w:eastAsia="Calibri" w:hAnsi="Calibri" w:cs="Calibri"/>
                <w:color w:val="000000" w:themeColor="text1"/>
                <w:sz w:val="18"/>
                <w:szCs w:val="18"/>
                <w:lang w:val="en-US"/>
              </w:rPr>
              <w:t xml:space="preserve"> get involved in Public Engagement with Research, either informally or as part of their formal duties, and are encouraged and supported to do so</w:t>
            </w:r>
          </w:p>
          <w:p w14:paraId="39DCC5E3" w14:textId="5A9A1E0F" w:rsidR="1FB97253" w:rsidRDefault="1FB97253" w:rsidP="1FB97253">
            <w:pPr>
              <w:rPr>
                <w:rFonts w:ascii="Calibri" w:eastAsia="Calibri" w:hAnsi="Calibri" w:cs="Calibri"/>
                <w:sz w:val="18"/>
                <w:szCs w:val="18"/>
              </w:rPr>
            </w:pPr>
          </w:p>
        </w:tc>
        <w:tc>
          <w:tcPr>
            <w:tcW w:w="1502" w:type="dxa"/>
          </w:tcPr>
          <w:p w14:paraId="5B5E3A62" w14:textId="2A7D3B31" w:rsidR="1FB97253" w:rsidRDefault="1FB97253" w:rsidP="1FB97253">
            <w:pPr>
              <w:rPr>
                <w:rFonts w:ascii="Calibri" w:eastAsia="Calibri" w:hAnsi="Calibri" w:cs="Calibri"/>
                <w:color w:val="000000" w:themeColor="text1"/>
                <w:sz w:val="18"/>
                <w:szCs w:val="18"/>
                <w:lang w:val="en-US"/>
              </w:rPr>
            </w:pPr>
          </w:p>
        </w:tc>
      </w:tr>
      <w:tr w:rsidR="1FB97253" w14:paraId="7AACC1B6" w14:textId="77777777" w:rsidTr="1FB97253">
        <w:tc>
          <w:tcPr>
            <w:tcW w:w="1502" w:type="dxa"/>
          </w:tcPr>
          <w:p w14:paraId="35F8A2E9" w14:textId="44ACC793"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Research</w:t>
            </w:r>
          </w:p>
          <w:p w14:paraId="7DD30733" w14:textId="788E62C0"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lastRenderedPageBreak/>
              <w:t>Students</w:t>
            </w:r>
          </w:p>
          <w:p w14:paraId="1DEB1A44" w14:textId="1ACF3BB1" w:rsidR="1FB97253" w:rsidRDefault="1FB97253" w:rsidP="1FB97253">
            <w:pPr>
              <w:rPr>
                <w:rFonts w:ascii="Calibri" w:eastAsia="Calibri" w:hAnsi="Calibri" w:cs="Calibri"/>
                <w:color w:val="000000" w:themeColor="text1"/>
                <w:sz w:val="24"/>
                <w:szCs w:val="24"/>
              </w:rPr>
            </w:pPr>
          </w:p>
        </w:tc>
        <w:tc>
          <w:tcPr>
            <w:tcW w:w="1502" w:type="dxa"/>
          </w:tcPr>
          <w:p w14:paraId="54B6BE17" w14:textId="22D0F0F5"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 xml:space="preserve">Few opportunities </w:t>
            </w:r>
            <w:r w:rsidRPr="1FB97253">
              <w:rPr>
                <w:rFonts w:ascii="Calibri" w:eastAsia="Calibri" w:hAnsi="Calibri" w:cs="Calibri"/>
                <w:color w:val="000000" w:themeColor="text1"/>
                <w:sz w:val="18"/>
                <w:szCs w:val="18"/>
                <w:lang w:val="en-US"/>
              </w:rPr>
              <w:lastRenderedPageBreak/>
              <w:t xml:space="preserve">exist for research students to get involved in Public Engagement with Research, either informally, through volunteering </w:t>
            </w:r>
            <w:proofErr w:type="spellStart"/>
            <w:r w:rsidRPr="1FB97253">
              <w:rPr>
                <w:rFonts w:ascii="Calibri" w:eastAsia="Calibri" w:hAnsi="Calibri" w:cs="Calibri"/>
                <w:color w:val="000000" w:themeColor="text1"/>
                <w:sz w:val="18"/>
                <w:szCs w:val="18"/>
                <w:lang w:val="en-US"/>
              </w:rPr>
              <w:t>programmes</w:t>
            </w:r>
            <w:proofErr w:type="spellEnd"/>
            <w:r w:rsidRPr="1FB97253">
              <w:rPr>
                <w:rFonts w:ascii="Calibri" w:eastAsia="Calibri" w:hAnsi="Calibri" w:cs="Calibri"/>
                <w:color w:val="000000" w:themeColor="text1"/>
                <w:sz w:val="18"/>
                <w:szCs w:val="18"/>
                <w:lang w:val="en-US"/>
              </w:rPr>
              <w:t>, or as part of the formal curriculum</w:t>
            </w:r>
          </w:p>
          <w:p w14:paraId="4100F962" w14:textId="6C27A80C" w:rsidR="1FB97253" w:rsidRDefault="1FB97253" w:rsidP="1FB97253">
            <w:pPr>
              <w:rPr>
                <w:rFonts w:ascii="Calibri" w:eastAsia="Calibri" w:hAnsi="Calibri" w:cs="Calibri"/>
                <w:color w:val="000000" w:themeColor="text1"/>
                <w:sz w:val="18"/>
                <w:szCs w:val="18"/>
              </w:rPr>
            </w:pPr>
          </w:p>
        </w:tc>
        <w:tc>
          <w:tcPr>
            <w:tcW w:w="1502" w:type="dxa"/>
          </w:tcPr>
          <w:p w14:paraId="6E3ACEF2" w14:textId="3E4B83AA"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 xml:space="preserve">There are opportunities for </w:t>
            </w:r>
            <w:r w:rsidRPr="1FB97253">
              <w:rPr>
                <w:rFonts w:ascii="Calibri" w:eastAsia="Calibri" w:hAnsi="Calibri" w:cs="Calibri"/>
                <w:color w:val="000000" w:themeColor="text1"/>
                <w:sz w:val="18"/>
                <w:szCs w:val="18"/>
                <w:lang w:val="en-US"/>
              </w:rPr>
              <w:lastRenderedPageBreak/>
              <w:t>research students to get involved, but there is no coordinated approach to promoting and supporting these opportunities across the department</w:t>
            </w:r>
          </w:p>
          <w:p w14:paraId="7641A843" w14:textId="2A7BAAE8" w:rsidR="1FB97253" w:rsidRDefault="1FB97253" w:rsidP="1FB97253">
            <w:pPr>
              <w:rPr>
                <w:rFonts w:ascii="Calibri" w:eastAsia="Calibri" w:hAnsi="Calibri" w:cs="Calibri"/>
                <w:color w:val="000000" w:themeColor="text1"/>
                <w:sz w:val="18"/>
                <w:szCs w:val="18"/>
              </w:rPr>
            </w:pPr>
          </w:p>
        </w:tc>
        <w:tc>
          <w:tcPr>
            <w:tcW w:w="1502" w:type="dxa"/>
          </w:tcPr>
          <w:p w14:paraId="341CF400" w14:textId="4EAD830A"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 xml:space="preserve">Many (but not all) research </w:t>
            </w:r>
            <w:r w:rsidRPr="1FB97253">
              <w:rPr>
                <w:rFonts w:ascii="Calibri" w:eastAsia="Calibri" w:hAnsi="Calibri" w:cs="Calibri"/>
                <w:color w:val="000000" w:themeColor="text1"/>
                <w:sz w:val="18"/>
                <w:szCs w:val="18"/>
                <w:lang w:val="en-US"/>
              </w:rPr>
              <w:lastRenderedPageBreak/>
              <w:t xml:space="preserve">students </w:t>
            </w:r>
            <w:proofErr w:type="gramStart"/>
            <w:r w:rsidRPr="1FB97253">
              <w:rPr>
                <w:rFonts w:ascii="Calibri" w:eastAsia="Calibri" w:hAnsi="Calibri" w:cs="Calibri"/>
                <w:color w:val="000000" w:themeColor="text1"/>
                <w:sz w:val="18"/>
                <w:szCs w:val="18"/>
                <w:lang w:val="en-US"/>
              </w:rPr>
              <w:t>have the opportunity to</w:t>
            </w:r>
            <w:proofErr w:type="gramEnd"/>
            <w:r w:rsidRPr="1FB97253">
              <w:rPr>
                <w:rFonts w:ascii="Calibri" w:eastAsia="Calibri" w:hAnsi="Calibri" w:cs="Calibri"/>
                <w:color w:val="000000" w:themeColor="text1"/>
                <w:sz w:val="18"/>
                <w:szCs w:val="18"/>
                <w:lang w:val="en-US"/>
              </w:rPr>
              <w:t xml:space="preserve"> get involved in Public Engagement with Research and are encouraged and supported to do so. There is a drive to expand opportunities to all</w:t>
            </w:r>
          </w:p>
          <w:p w14:paraId="3CD07BFF" w14:textId="7CCE8FFB" w:rsidR="1FB97253" w:rsidRDefault="1FB97253" w:rsidP="1FB97253">
            <w:pPr>
              <w:rPr>
                <w:rFonts w:ascii="Calibri" w:eastAsia="Calibri" w:hAnsi="Calibri" w:cs="Calibri"/>
                <w:color w:val="000000" w:themeColor="text1"/>
                <w:sz w:val="18"/>
                <w:szCs w:val="18"/>
              </w:rPr>
            </w:pPr>
          </w:p>
        </w:tc>
        <w:tc>
          <w:tcPr>
            <w:tcW w:w="1502" w:type="dxa"/>
          </w:tcPr>
          <w:p w14:paraId="454644B2" w14:textId="353D24DA"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lastRenderedPageBreak/>
              <w:t xml:space="preserve">All research students have </w:t>
            </w:r>
            <w:r w:rsidRPr="1FB97253">
              <w:rPr>
                <w:rFonts w:ascii="Calibri" w:eastAsia="Calibri" w:hAnsi="Calibri" w:cs="Calibri"/>
                <w:color w:val="000000" w:themeColor="text1"/>
                <w:sz w:val="18"/>
                <w:szCs w:val="18"/>
                <w:lang w:val="en-US"/>
              </w:rPr>
              <w:lastRenderedPageBreak/>
              <w:t xml:space="preserve">the opportunity to get involved in Public Engagement with </w:t>
            </w:r>
            <w:proofErr w:type="gramStart"/>
            <w:r w:rsidRPr="1FB97253">
              <w:rPr>
                <w:rFonts w:ascii="Calibri" w:eastAsia="Calibri" w:hAnsi="Calibri" w:cs="Calibri"/>
                <w:color w:val="000000" w:themeColor="text1"/>
                <w:sz w:val="18"/>
                <w:szCs w:val="18"/>
                <w:lang w:val="en-US"/>
              </w:rPr>
              <w:t>Research, and</w:t>
            </w:r>
            <w:proofErr w:type="gramEnd"/>
            <w:r w:rsidRPr="1FB97253">
              <w:rPr>
                <w:rFonts w:ascii="Calibri" w:eastAsia="Calibri" w:hAnsi="Calibri" w:cs="Calibri"/>
                <w:color w:val="000000" w:themeColor="text1"/>
                <w:sz w:val="18"/>
                <w:szCs w:val="18"/>
                <w:lang w:val="en-US"/>
              </w:rPr>
              <w:t xml:space="preserve"> are encouraged and supported to do so. The institution offers both formal and informal ways to </w:t>
            </w:r>
            <w:proofErr w:type="spellStart"/>
            <w:r w:rsidRPr="1FB97253">
              <w:rPr>
                <w:rFonts w:ascii="Calibri" w:eastAsia="Calibri" w:hAnsi="Calibri" w:cs="Calibri"/>
                <w:color w:val="000000" w:themeColor="text1"/>
                <w:sz w:val="18"/>
                <w:szCs w:val="18"/>
                <w:lang w:val="en-US"/>
              </w:rPr>
              <w:t>recognise</w:t>
            </w:r>
            <w:proofErr w:type="spellEnd"/>
            <w:r w:rsidRPr="1FB97253">
              <w:rPr>
                <w:rFonts w:ascii="Calibri" w:eastAsia="Calibri" w:hAnsi="Calibri" w:cs="Calibri"/>
                <w:color w:val="000000" w:themeColor="text1"/>
                <w:sz w:val="18"/>
                <w:szCs w:val="18"/>
                <w:lang w:val="en-US"/>
              </w:rPr>
              <w:t xml:space="preserve"> and reward their involvement</w:t>
            </w:r>
          </w:p>
          <w:p w14:paraId="7B152F0E" w14:textId="71322E4B" w:rsidR="1FB97253" w:rsidRDefault="1FB97253" w:rsidP="1FB97253">
            <w:pPr>
              <w:rPr>
                <w:rFonts w:ascii="Calibri" w:eastAsia="Calibri" w:hAnsi="Calibri" w:cs="Calibri"/>
                <w:color w:val="000000" w:themeColor="text1"/>
                <w:sz w:val="18"/>
                <w:szCs w:val="18"/>
              </w:rPr>
            </w:pPr>
          </w:p>
        </w:tc>
        <w:tc>
          <w:tcPr>
            <w:tcW w:w="1502" w:type="dxa"/>
          </w:tcPr>
          <w:p w14:paraId="545C08B3" w14:textId="0C78D8C8" w:rsidR="1FB97253" w:rsidRDefault="1FB97253" w:rsidP="1FB97253">
            <w:pPr>
              <w:rPr>
                <w:rFonts w:ascii="Calibri" w:eastAsia="Calibri" w:hAnsi="Calibri" w:cs="Calibri"/>
                <w:color w:val="000000" w:themeColor="text1"/>
                <w:sz w:val="18"/>
                <w:szCs w:val="18"/>
                <w:lang w:val="en-US"/>
              </w:rPr>
            </w:pPr>
          </w:p>
        </w:tc>
      </w:tr>
      <w:tr w:rsidR="1FB97253" w14:paraId="59103725" w14:textId="77777777" w:rsidTr="1FB97253">
        <w:tc>
          <w:tcPr>
            <w:tcW w:w="1502" w:type="dxa"/>
          </w:tcPr>
          <w:p w14:paraId="55647879" w14:textId="5AD8EABC" w:rsidR="1FB97253" w:rsidRDefault="1FB97253" w:rsidP="1FB97253">
            <w:pPr>
              <w:rPr>
                <w:rFonts w:ascii="Calibri" w:eastAsia="Calibri" w:hAnsi="Calibri" w:cs="Calibri"/>
                <w:color w:val="000000" w:themeColor="text1"/>
                <w:sz w:val="24"/>
                <w:szCs w:val="24"/>
              </w:rPr>
            </w:pPr>
            <w:r w:rsidRPr="1FB97253">
              <w:rPr>
                <w:rFonts w:ascii="Calibri" w:eastAsia="Calibri" w:hAnsi="Calibri" w:cs="Calibri"/>
                <w:color w:val="000000" w:themeColor="text1"/>
                <w:sz w:val="24"/>
                <w:szCs w:val="24"/>
                <w:lang w:val="en-US"/>
              </w:rPr>
              <w:t>Public</w:t>
            </w:r>
          </w:p>
        </w:tc>
        <w:tc>
          <w:tcPr>
            <w:tcW w:w="1502" w:type="dxa"/>
          </w:tcPr>
          <w:p w14:paraId="48768051" w14:textId="36789614"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Little or no attempt has been made to assess community need, or to support ‘</w:t>
            </w:r>
            <w:proofErr w:type="spellStart"/>
            <w:proofErr w:type="gramStart"/>
            <w:r w:rsidRPr="1FB97253">
              <w:rPr>
                <w:rFonts w:ascii="Calibri" w:eastAsia="Calibri" w:hAnsi="Calibri" w:cs="Calibri"/>
                <w:color w:val="000000" w:themeColor="text1"/>
                <w:sz w:val="18"/>
                <w:szCs w:val="18"/>
                <w:lang w:val="en-US"/>
              </w:rPr>
              <w:t>non traditional</w:t>
            </w:r>
            <w:proofErr w:type="spellEnd"/>
            <w:proofErr w:type="gramEnd"/>
            <w:r w:rsidRPr="1FB97253">
              <w:rPr>
                <w:rFonts w:ascii="Calibri" w:eastAsia="Calibri" w:hAnsi="Calibri" w:cs="Calibri"/>
                <w:color w:val="000000" w:themeColor="text1"/>
                <w:sz w:val="18"/>
                <w:szCs w:val="18"/>
                <w:lang w:val="en-US"/>
              </w:rPr>
              <w:t>’ groups in engaging with the department</w:t>
            </w:r>
          </w:p>
          <w:p w14:paraId="0590E8E7" w14:textId="313B27D4" w:rsidR="1FB97253" w:rsidRDefault="1FB97253" w:rsidP="1FB97253">
            <w:pPr>
              <w:rPr>
                <w:rFonts w:ascii="Calibri" w:eastAsia="Calibri" w:hAnsi="Calibri" w:cs="Calibri"/>
                <w:color w:val="000000" w:themeColor="text1"/>
                <w:sz w:val="18"/>
                <w:szCs w:val="18"/>
              </w:rPr>
            </w:pPr>
          </w:p>
        </w:tc>
        <w:tc>
          <w:tcPr>
            <w:tcW w:w="1502" w:type="dxa"/>
          </w:tcPr>
          <w:p w14:paraId="5B66C663" w14:textId="6CA59745"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 xml:space="preserve">Some attempt has been made to analyse community need and interest; and to begin to tackle access issues to </w:t>
            </w:r>
            <w:proofErr w:type="gramStart"/>
            <w:r w:rsidRPr="1FB97253">
              <w:rPr>
                <w:rFonts w:ascii="Calibri" w:eastAsia="Calibri" w:hAnsi="Calibri" w:cs="Calibri"/>
                <w:color w:val="000000" w:themeColor="text1"/>
                <w:sz w:val="18"/>
                <w:szCs w:val="18"/>
                <w:lang w:val="en-US"/>
              </w:rPr>
              <w:t>open up</w:t>
            </w:r>
            <w:proofErr w:type="gramEnd"/>
            <w:r w:rsidRPr="1FB97253">
              <w:rPr>
                <w:rFonts w:ascii="Calibri" w:eastAsia="Calibri" w:hAnsi="Calibri" w:cs="Calibri"/>
                <w:color w:val="000000" w:themeColor="text1"/>
                <w:sz w:val="18"/>
                <w:szCs w:val="18"/>
                <w:lang w:val="en-US"/>
              </w:rPr>
              <w:t xml:space="preserve"> the department and its activities to the public</w:t>
            </w:r>
          </w:p>
          <w:p w14:paraId="2DCE61A3" w14:textId="6EDA1E9C" w:rsidR="1FB97253" w:rsidRDefault="1FB97253" w:rsidP="1FB97253">
            <w:pPr>
              <w:rPr>
                <w:rFonts w:ascii="Calibri" w:eastAsia="Calibri" w:hAnsi="Calibri" w:cs="Calibri"/>
                <w:color w:val="000000" w:themeColor="text1"/>
                <w:sz w:val="18"/>
                <w:szCs w:val="18"/>
              </w:rPr>
            </w:pPr>
          </w:p>
        </w:tc>
        <w:tc>
          <w:tcPr>
            <w:tcW w:w="1502" w:type="dxa"/>
          </w:tcPr>
          <w:p w14:paraId="53DFDCE5" w14:textId="1E52E062"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 department has committed resources to assessing community need and interests, and to using this insight and feedback to inform its strategy and plans</w:t>
            </w:r>
          </w:p>
          <w:p w14:paraId="0600E263" w14:textId="5D1313D1" w:rsidR="1FB97253" w:rsidRDefault="1FB97253" w:rsidP="1FB97253">
            <w:pPr>
              <w:rPr>
                <w:rFonts w:ascii="Calibri" w:eastAsia="Calibri" w:hAnsi="Calibri" w:cs="Calibri"/>
                <w:color w:val="000000" w:themeColor="text1"/>
                <w:sz w:val="18"/>
                <w:szCs w:val="18"/>
              </w:rPr>
            </w:pPr>
          </w:p>
        </w:tc>
        <w:tc>
          <w:tcPr>
            <w:tcW w:w="1502" w:type="dxa"/>
          </w:tcPr>
          <w:p w14:paraId="544071FC" w14:textId="35D0986D" w:rsidR="1FB97253" w:rsidRDefault="1FB97253" w:rsidP="1FB97253">
            <w:pPr>
              <w:rPr>
                <w:rFonts w:ascii="Calibri" w:eastAsia="Calibri" w:hAnsi="Calibri" w:cs="Calibri"/>
                <w:color w:val="000000" w:themeColor="text1"/>
                <w:sz w:val="18"/>
                <w:szCs w:val="18"/>
              </w:rPr>
            </w:pPr>
            <w:r w:rsidRPr="1FB97253">
              <w:rPr>
                <w:rFonts w:ascii="Calibri" w:eastAsia="Calibri" w:hAnsi="Calibri" w:cs="Calibri"/>
                <w:color w:val="000000" w:themeColor="text1"/>
                <w:sz w:val="18"/>
                <w:szCs w:val="18"/>
                <w:lang w:val="en-US"/>
              </w:rPr>
              <w:t>The department has assessed need &amp; committed resources to supporting a wide range of groups to access its facilities and activities, and to systematically seek their feedback and involvement</w:t>
            </w:r>
          </w:p>
          <w:p w14:paraId="757197DA" w14:textId="72ED670A" w:rsidR="1FB97253" w:rsidRDefault="1FB97253" w:rsidP="1FB97253">
            <w:pPr>
              <w:rPr>
                <w:rFonts w:ascii="Calibri" w:eastAsia="Calibri" w:hAnsi="Calibri" w:cs="Calibri"/>
                <w:color w:val="000000" w:themeColor="text1"/>
                <w:sz w:val="18"/>
                <w:szCs w:val="18"/>
              </w:rPr>
            </w:pPr>
          </w:p>
        </w:tc>
        <w:tc>
          <w:tcPr>
            <w:tcW w:w="1502" w:type="dxa"/>
          </w:tcPr>
          <w:p w14:paraId="10B99D8C" w14:textId="56FE9FE1" w:rsidR="1FB97253" w:rsidRDefault="1FB97253" w:rsidP="1FB97253">
            <w:pPr>
              <w:rPr>
                <w:rFonts w:ascii="Calibri" w:eastAsia="Calibri" w:hAnsi="Calibri" w:cs="Calibri"/>
                <w:color w:val="000000" w:themeColor="text1"/>
                <w:sz w:val="18"/>
                <w:szCs w:val="18"/>
                <w:lang w:val="en-US"/>
              </w:rPr>
            </w:pPr>
          </w:p>
        </w:tc>
      </w:tr>
    </w:tbl>
    <w:p w14:paraId="52273B63" w14:textId="7490ACB2" w:rsidR="1FB97253" w:rsidRDefault="1FB97253" w:rsidP="1FB97253">
      <w:pPr>
        <w:spacing w:after="0" w:line="240" w:lineRule="auto"/>
        <w:rPr>
          <w:rFonts w:ascii="Calibri" w:eastAsia="Calibri" w:hAnsi="Calibri" w:cs="Calibri"/>
          <w:sz w:val="24"/>
          <w:szCs w:val="24"/>
        </w:rPr>
      </w:pPr>
    </w:p>
    <w:p w14:paraId="27DD1CF6" w14:textId="502F73E8" w:rsidR="1FB97253" w:rsidRDefault="1FB97253" w:rsidP="1FB97253">
      <w:pPr>
        <w:spacing w:after="0" w:line="240" w:lineRule="auto"/>
        <w:rPr>
          <w:rFonts w:ascii="Calibri" w:eastAsia="Calibri" w:hAnsi="Calibri" w:cs="Calibri"/>
          <w:sz w:val="24"/>
          <w:szCs w:val="24"/>
        </w:rPr>
      </w:pPr>
    </w:p>
    <w:p w14:paraId="05139B0D" w14:textId="3A85FCC9" w:rsidR="1FB97253" w:rsidRDefault="1FB97253" w:rsidP="1FB97253">
      <w:pPr>
        <w:spacing w:after="0" w:line="240" w:lineRule="auto"/>
        <w:rPr>
          <w:rFonts w:ascii="Calibri" w:eastAsia="Calibri" w:hAnsi="Calibri" w:cs="Calibri"/>
          <w:sz w:val="24"/>
          <w:szCs w:val="24"/>
        </w:rPr>
      </w:pPr>
    </w:p>
    <w:p w14:paraId="0FF03561" w14:textId="0B61F859" w:rsidR="1FB97253" w:rsidRDefault="1FB97253" w:rsidP="1FB97253">
      <w:pPr>
        <w:spacing w:after="0" w:line="240" w:lineRule="auto"/>
        <w:rPr>
          <w:rFonts w:ascii="Calibri" w:eastAsia="Calibri" w:hAnsi="Calibri" w:cs="Calibri"/>
          <w:color w:val="0070C0"/>
          <w:sz w:val="28"/>
          <w:szCs w:val="28"/>
        </w:rPr>
      </w:pPr>
    </w:p>
    <w:p w14:paraId="025E3C25" w14:textId="0ED48C3B" w:rsidR="564C466E" w:rsidRDefault="564C466E" w:rsidP="1FB97253">
      <w:pPr>
        <w:spacing w:after="0" w:line="240" w:lineRule="auto"/>
        <w:jc w:val="center"/>
        <w:rPr>
          <w:rFonts w:ascii="Calibri" w:eastAsia="Calibri" w:hAnsi="Calibri" w:cs="Calibri"/>
          <w:sz w:val="24"/>
          <w:szCs w:val="24"/>
        </w:rPr>
      </w:pPr>
      <w:r>
        <w:rPr>
          <w:noProof/>
        </w:rPr>
        <w:drawing>
          <wp:inline distT="0" distB="0" distL="0" distR="0" wp14:anchorId="24F6EAF3" wp14:editId="3170598C">
            <wp:extent cx="4572000" cy="1400175"/>
            <wp:effectExtent l="0" t="0" r="0" b="0"/>
            <wp:docPr id="1163157079" name="Picture 1163157079" descr="Logo for University of Oxford Public Engagement with Research. Multi-coloured silhouettes of 19 people standing in a row, representing a variety of genders, sizes, ages and 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57079" name="Picture 1163157079" descr="Logo for University of Oxford Public Engagement with Research. Multi-coloured silhouettes of 19 people standing in a row, representing a variety of genders, sizes, ages and abilities."/>
                    <pic:cNvPicPr/>
                  </pic:nvPicPr>
                  <pic:blipFill>
                    <a:blip r:embed="rId13">
                      <a:extLst>
                        <a:ext uri="{28A0092B-C50C-407E-A947-70E740481C1C}">
                          <a14:useLocalDpi xmlns:a14="http://schemas.microsoft.com/office/drawing/2010/main" val="0"/>
                        </a:ext>
                      </a:extLst>
                    </a:blip>
                    <a:stretch>
                      <a:fillRect/>
                    </a:stretch>
                  </pic:blipFill>
                  <pic:spPr>
                    <a:xfrm>
                      <a:off x="0" y="0"/>
                      <a:ext cx="4572000" cy="1400175"/>
                    </a:xfrm>
                    <a:prstGeom prst="rect">
                      <a:avLst/>
                    </a:prstGeom>
                  </pic:spPr>
                </pic:pic>
              </a:graphicData>
            </a:graphic>
          </wp:inline>
        </w:drawing>
      </w:r>
    </w:p>
    <w:p w14:paraId="72393CE9" w14:textId="10F60EA1" w:rsidR="1FB97253" w:rsidRDefault="1FB97253" w:rsidP="1FB97253">
      <w:pPr>
        <w:tabs>
          <w:tab w:val="left" w:pos="4010"/>
        </w:tabs>
        <w:spacing w:after="0" w:line="240" w:lineRule="auto"/>
        <w:rPr>
          <w:rFonts w:ascii="Calibri" w:eastAsia="Calibri" w:hAnsi="Calibri" w:cs="Calibri"/>
          <w:sz w:val="24"/>
          <w:szCs w:val="24"/>
        </w:rPr>
      </w:pPr>
    </w:p>
    <w:p w14:paraId="216C7C25" w14:textId="40993C3C" w:rsidR="1FB97253" w:rsidRDefault="1FB97253" w:rsidP="1FB97253">
      <w:pPr>
        <w:tabs>
          <w:tab w:val="left" w:pos="5377"/>
        </w:tabs>
        <w:spacing w:after="0" w:line="240" w:lineRule="auto"/>
        <w:rPr>
          <w:rFonts w:ascii="Calibri" w:eastAsia="Calibri" w:hAnsi="Calibri" w:cs="Calibri"/>
          <w:sz w:val="24"/>
          <w:szCs w:val="24"/>
        </w:rPr>
      </w:pPr>
    </w:p>
    <w:p w14:paraId="29A64528" w14:textId="19FC7AA2" w:rsidR="1FB97253" w:rsidRDefault="1FB97253" w:rsidP="1FB97253"/>
    <w:sectPr w:rsidR="1FB9725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6CE0" w14:textId="77777777" w:rsidR="00085858" w:rsidRDefault="00085858" w:rsidP="005814A0">
      <w:pPr>
        <w:spacing w:after="0" w:line="240" w:lineRule="auto"/>
      </w:pPr>
      <w:r>
        <w:separator/>
      </w:r>
    </w:p>
  </w:endnote>
  <w:endnote w:type="continuationSeparator" w:id="0">
    <w:p w14:paraId="3D13BAC4" w14:textId="77777777" w:rsidR="00085858" w:rsidRDefault="00085858" w:rsidP="0058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78283"/>
      <w:docPartObj>
        <w:docPartGallery w:val="Page Numbers (Bottom of Page)"/>
        <w:docPartUnique/>
      </w:docPartObj>
    </w:sdtPr>
    <w:sdtEndPr>
      <w:rPr>
        <w:noProof/>
      </w:rPr>
    </w:sdtEndPr>
    <w:sdtContent>
      <w:p w14:paraId="1144661E" w14:textId="26976B3D" w:rsidR="005814A0" w:rsidRDefault="00581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98703" w14:textId="77777777" w:rsidR="005814A0" w:rsidRDefault="0058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6820" w14:textId="77777777" w:rsidR="00085858" w:rsidRDefault="00085858" w:rsidP="005814A0">
      <w:pPr>
        <w:spacing w:after="0" w:line="240" w:lineRule="auto"/>
      </w:pPr>
      <w:r>
        <w:separator/>
      </w:r>
    </w:p>
  </w:footnote>
  <w:footnote w:type="continuationSeparator" w:id="0">
    <w:p w14:paraId="436DF349" w14:textId="77777777" w:rsidR="00085858" w:rsidRDefault="00085858" w:rsidP="00581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1DD"/>
    <w:multiLevelType w:val="hybridMultilevel"/>
    <w:tmpl w:val="98BC1374"/>
    <w:lvl w:ilvl="0" w:tplc="A7980AB8">
      <w:start w:val="1"/>
      <w:numFmt w:val="bullet"/>
      <w:lvlText w:val=""/>
      <w:lvlJc w:val="left"/>
      <w:pPr>
        <w:ind w:left="720" w:hanging="360"/>
      </w:pPr>
      <w:rPr>
        <w:rFonts w:ascii="Symbol" w:hAnsi="Symbol" w:hint="default"/>
      </w:rPr>
    </w:lvl>
    <w:lvl w:ilvl="1" w:tplc="9B8A91DE">
      <w:start w:val="1"/>
      <w:numFmt w:val="bullet"/>
      <w:lvlText w:val="o"/>
      <w:lvlJc w:val="left"/>
      <w:pPr>
        <w:ind w:left="1440" w:hanging="360"/>
      </w:pPr>
      <w:rPr>
        <w:rFonts w:ascii="Courier New" w:hAnsi="Courier New" w:hint="default"/>
      </w:rPr>
    </w:lvl>
    <w:lvl w:ilvl="2" w:tplc="9E20CECC">
      <w:start w:val="1"/>
      <w:numFmt w:val="bullet"/>
      <w:lvlText w:val=""/>
      <w:lvlJc w:val="left"/>
      <w:pPr>
        <w:ind w:left="2160" w:hanging="360"/>
      </w:pPr>
      <w:rPr>
        <w:rFonts w:ascii="Wingdings" w:hAnsi="Wingdings" w:hint="default"/>
      </w:rPr>
    </w:lvl>
    <w:lvl w:ilvl="3" w:tplc="124A291A">
      <w:start w:val="1"/>
      <w:numFmt w:val="bullet"/>
      <w:lvlText w:val=""/>
      <w:lvlJc w:val="left"/>
      <w:pPr>
        <w:ind w:left="2880" w:hanging="360"/>
      </w:pPr>
      <w:rPr>
        <w:rFonts w:ascii="Symbol" w:hAnsi="Symbol" w:hint="default"/>
      </w:rPr>
    </w:lvl>
    <w:lvl w:ilvl="4" w:tplc="0E24C3FE">
      <w:start w:val="1"/>
      <w:numFmt w:val="bullet"/>
      <w:lvlText w:val="o"/>
      <w:lvlJc w:val="left"/>
      <w:pPr>
        <w:ind w:left="3600" w:hanging="360"/>
      </w:pPr>
      <w:rPr>
        <w:rFonts w:ascii="Courier New" w:hAnsi="Courier New" w:hint="default"/>
      </w:rPr>
    </w:lvl>
    <w:lvl w:ilvl="5" w:tplc="66D80D14">
      <w:start w:val="1"/>
      <w:numFmt w:val="bullet"/>
      <w:lvlText w:val=""/>
      <w:lvlJc w:val="left"/>
      <w:pPr>
        <w:ind w:left="4320" w:hanging="360"/>
      </w:pPr>
      <w:rPr>
        <w:rFonts w:ascii="Wingdings" w:hAnsi="Wingdings" w:hint="default"/>
      </w:rPr>
    </w:lvl>
    <w:lvl w:ilvl="6" w:tplc="249A730A">
      <w:start w:val="1"/>
      <w:numFmt w:val="bullet"/>
      <w:lvlText w:val=""/>
      <w:lvlJc w:val="left"/>
      <w:pPr>
        <w:ind w:left="5040" w:hanging="360"/>
      </w:pPr>
      <w:rPr>
        <w:rFonts w:ascii="Symbol" w:hAnsi="Symbol" w:hint="default"/>
      </w:rPr>
    </w:lvl>
    <w:lvl w:ilvl="7" w:tplc="B8A66C42">
      <w:start w:val="1"/>
      <w:numFmt w:val="bullet"/>
      <w:lvlText w:val="o"/>
      <w:lvlJc w:val="left"/>
      <w:pPr>
        <w:ind w:left="5760" w:hanging="360"/>
      </w:pPr>
      <w:rPr>
        <w:rFonts w:ascii="Courier New" w:hAnsi="Courier New" w:hint="default"/>
      </w:rPr>
    </w:lvl>
    <w:lvl w:ilvl="8" w:tplc="BF744C78">
      <w:start w:val="1"/>
      <w:numFmt w:val="bullet"/>
      <w:lvlText w:val=""/>
      <w:lvlJc w:val="left"/>
      <w:pPr>
        <w:ind w:left="6480" w:hanging="360"/>
      </w:pPr>
      <w:rPr>
        <w:rFonts w:ascii="Wingdings" w:hAnsi="Wingdings" w:hint="default"/>
      </w:rPr>
    </w:lvl>
  </w:abstractNum>
  <w:abstractNum w:abstractNumId="1" w15:restartNumberingAfterBreak="0">
    <w:nsid w:val="795B699A"/>
    <w:multiLevelType w:val="hybridMultilevel"/>
    <w:tmpl w:val="26E4420A"/>
    <w:lvl w:ilvl="0" w:tplc="F0404A38">
      <w:start w:val="1"/>
      <w:numFmt w:val="bullet"/>
      <w:lvlText w:val=""/>
      <w:lvlJc w:val="left"/>
      <w:pPr>
        <w:ind w:left="720" w:hanging="360"/>
      </w:pPr>
      <w:rPr>
        <w:rFonts w:ascii="Symbol" w:hAnsi="Symbol" w:hint="default"/>
      </w:rPr>
    </w:lvl>
    <w:lvl w:ilvl="1" w:tplc="9864CD7C">
      <w:start w:val="1"/>
      <w:numFmt w:val="bullet"/>
      <w:lvlText w:val="o"/>
      <w:lvlJc w:val="left"/>
      <w:pPr>
        <w:ind w:left="1440" w:hanging="360"/>
      </w:pPr>
      <w:rPr>
        <w:rFonts w:ascii="Courier New" w:hAnsi="Courier New" w:hint="default"/>
      </w:rPr>
    </w:lvl>
    <w:lvl w:ilvl="2" w:tplc="90CEBAC2">
      <w:start w:val="1"/>
      <w:numFmt w:val="bullet"/>
      <w:lvlText w:val=""/>
      <w:lvlJc w:val="left"/>
      <w:pPr>
        <w:ind w:left="2160" w:hanging="360"/>
      </w:pPr>
      <w:rPr>
        <w:rFonts w:ascii="Wingdings" w:hAnsi="Wingdings" w:hint="default"/>
      </w:rPr>
    </w:lvl>
    <w:lvl w:ilvl="3" w:tplc="4B0ED328">
      <w:start w:val="1"/>
      <w:numFmt w:val="bullet"/>
      <w:lvlText w:val=""/>
      <w:lvlJc w:val="left"/>
      <w:pPr>
        <w:ind w:left="2880" w:hanging="360"/>
      </w:pPr>
      <w:rPr>
        <w:rFonts w:ascii="Symbol" w:hAnsi="Symbol" w:hint="default"/>
      </w:rPr>
    </w:lvl>
    <w:lvl w:ilvl="4" w:tplc="2132DE3E">
      <w:start w:val="1"/>
      <w:numFmt w:val="bullet"/>
      <w:lvlText w:val="o"/>
      <w:lvlJc w:val="left"/>
      <w:pPr>
        <w:ind w:left="3600" w:hanging="360"/>
      </w:pPr>
      <w:rPr>
        <w:rFonts w:ascii="Courier New" w:hAnsi="Courier New" w:hint="default"/>
      </w:rPr>
    </w:lvl>
    <w:lvl w:ilvl="5" w:tplc="7A266466">
      <w:start w:val="1"/>
      <w:numFmt w:val="bullet"/>
      <w:lvlText w:val=""/>
      <w:lvlJc w:val="left"/>
      <w:pPr>
        <w:ind w:left="4320" w:hanging="360"/>
      </w:pPr>
      <w:rPr>
        <w:rFonts w:ascii="Wingdings" w:hAnsi="Wingdings" w:hint="default"/>
      </w:rPr>
    </w:lvl>
    <w:lvl w:ilvl="6" w:tplc="FCAE2146">
      <w:start w:val="1"/>
      <w:numFmt w:val="bullet"/>
      <w:lvlText w:val=""/>
      <w:lvlJc w:val="left"/>
      <w:pPr>
        <w:ind w:left="5040" w:hanging="360"/>
      </w:pPr>
      <w:rPr>
        <w:rFonts w:ascii="Symbol" w:hAnsi="Symbol" w:hint="default"/>
      </w:rPr>
    </w:lvl>
    <w:lvl w:ilvl="7" w:tplc="F2CE4D2C">
      <w:start w:val="1"/>
      <w:numFmt w:val="bullet"/>
      <w:lvlText w:val="o"/>
      <w:lvlJc w:val="left"/>
      <w:pPr>
        <w:ind w:left="5760" w:hanging="360"/>
      </w:pPr>
      <w:rPr>
        <w:rFonts w:ascii="Courier New" w:hAnsi="Courier New" w:hint="default"/>
      </w:rPr>
    </w:lvl>
    <w:lvl w:ilvl="8" w:tplc="EC424BC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EF74C"/>
    <w:rsid w:val="00085858"/>
    <w:rsid w:val="002A3FA2"/>
    <w:rsid w:val="005814A0"/>
    <w:rsid w:val="007B650F"/>
    <w:rsid w:val="0EE53742"/>
    <w:rsid w:val="10DC589E"/>
    <w:rsid w:val="194ED5F7"/>
    <w:rsid w:val="1FB97253"/>
    <w:rsid w:val="20B3FBAE"/>
    <w:rsid w:val="259064CA"/>
    <w:rsid w:val="306668B4"/>
    <w:rsid w:val="32247725"/>
    <w:rsid w:val="33012CA1"/>
    <w:rsid w:val="37A8BF48"/>
    <w:rsid w:val="37CA9558"/>
    <w:rsid w:val="3CEA1B9C"/>
    <w:rsid w:val="3F67712E"/>
    <w:rsid w:val="400C1484"/>
    <w:rsid w:val="408CAB83"/>
    <w:rsid w:val="40A72C20"/>
    <w:rsid w:val="42CEF74C"/>
    <w:rsid w:val="44FB7DFA"/>
    <w:rsid w:val="4A1233ED"/>
    <w:rsid w:val="4E3B9E69"/>
    <w:rsid w:val="533BA805"/>
    <w:rsid w:val="564C466E"/>
    <w:rsid w:val="5893D0C8"/>
    <w:rsid w:val="58F36971"/>
    <w:rsid w:val="5D8A981B"/>
    <w:rsid w:val="5F26687C"/>
    <w:rsid w:val="5FD66370"/>
    <w:rsid w:val="60B9A1EB"/>
    <w:rsid w:val="661F0469"/>
    <w:rsid w:val="6C9BBE1B"/>
    <w:rsid w:val="71F20607"/>
    <w:rsid w:val="77008F21"/>
    <w:rsid w:val="77366354"/>
    <w:rsid w:val="7A4D5633"/>
    <w:rsid w:val="7A56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F74C"/>
  <w15:chartTrackingRefBased/>
  <w15:docId w15:val="{30A0AE0E-FEF2-4805-A4CE-43B663A0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1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A0"/>
  </w:style>
  <w:style w:type="paragraph" w:styleId="Footer">
    <w:name w:val="footer"/>
    <w:basedOn w:val="Normal"/>
    <w:link w:val="FooterChar"/>
    <w:uiPriority w:val="99"/>
    <w:unhideWhenUsed/>
    <w:rsid w:val="00581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engagement.ac.uk/support-engagement/strategy-and-planning/edge-t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6B38B2B0802949BCA4DFAEB4047130" ma:contentTypeVersion="12" ma:contentTypeDescription="Create a new document." ma:contentTypeScope="" ma:versionID="f7992e54db70f0c214504c1935fd8038">
  <xsd:schema xmlns:xsd="http://www.w3.org/2001/XMLSchema" xmlns:xs="http://www.w3.org/2001/XMLSchema" xmlns:p="http://schemas.microsoft.com/office/2006/metadata/properties" xmlns:ns2="3eaf0ee6-2e59-4ce4-a17e-bc3a9dc88309" xmlns:ns3="3d5075da-bc97-4890-8634-192c5c75f78c" targetNamespace="http://schemas.microsoft.com/office/2006/metadata/properties" ma:root="true" ma:fieldsID="a4abe498ff5814f0f754c0ea125eea8e" ns2:_="" ns3:_="">
    <xsd:import namespace="3eaf0ee6-2e59-4ce4-a17e-bc3a9dc88309"/>
    <xsd:import namespace="3d5075da-bc97-4890-8634-192c5c75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0ee6-2e59-4ce4-a17e-bc3a9dc88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075da-bc97-4890-8634-192c5c75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ABF04-D0CB-41A7-B1B2-856325B6D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36378-6935-48B8-BA4D-0A101C5E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f0ee6-2e59-4ce4-a17e-bc3a9dc88309"/>
    <ds:schemaRef ds:uri="3d5075da-bc97-4890-8634-192c5c75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30759-6202-4F43-AE89-11A571888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Smyth (Research Services)</dc:creator>
  <cp:keywords/>
  <dc:description/>
  <cp:lastModifiedBy>Hanna Smyth (Research Services)</cp:lastModifiedBy>
  <cp:revision>9</cp:revision>
  <dcterms:created xsi:type="dcterms:W3CDTF">2021-01-07T16:04:00Z</dcterms:created>
  <dcterms:modified xsi:type="dcterms:W3CDTF">2021-09-09T10:00:00Z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0x010100966B38B2B0802949BCA4DFAEB4047130</vt:lpwstr>
  </property>
</Properties>
</file>