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CF0D" w14:textId="57D6627A" w:rsidR="005D7F49" w:rsidRPr="008A2997" w:rsidRDefault="0067074F" w:rsidP="008A2997">
      <w:pPr>
        <w:pStyle w:val="Heading1"/>
      </w:pPr>
      <w:r w:rsidRPr="008A2997">
        <w:t xml:space="preserve">Testing for </w:t>
      </w:r>
      <w:r w:rsidR="000F0C2C" w:rsidRPr="008A2997">
        <w:t>COVID</w:t>
      </w:r>
      <w:r w:rsidR="00455BAC" w:rsidRPr="008A2997">
        <w:t>-</w:t>
      </w:r>
      <w:r w:rsidR="006E2D85" w:rsidRPr="008A2997">
        <w:t>19</w:t>
      </w:r>
      <w:r w:rsidRPr="008A2997">
        <w:t>:</w:t>
      </w:r>
      <w:r w:rsidR="006E2D85" w:rsidRPr="008A2997">
        <w:t xml:space="preserve"> Early Alert Service</w:t>
      </w:r>
      <w:r w:rsidR="000A45D6" w:rsidRPr="008A2997">
        <w:t xml:space="preserve"> – </w:t>
      </w:r>
      <w:r w:rsidR="006E2D85" w:rsidRPr="008A2997">
        <w:t>Michaelmas Term Report</w:t>
      </w:r>
    </w:p>
    <w:p w14:paraId="1426753E" w14:textId="6BC2AAF1" w:rsidR="00D25527" w:rsidRDefault="000A45D6" w:rsidP="00D25527">
      <w:pPr>
        <w:spacing w:after="0"/>
        <w:ind w:right="-330"/>
        <w:jc w:val="both"/>
      </w:pPr>
      <w:r>
        <w:t xml:space="preserve">Professor </w:t>
      </w:r>
      <w:r w:rsidR="00D25527" w:rsidRPr="009221B0">
        <w:t>David Mant</w:t>
      </w:r>
    </w:p>
    <w:p w14:paraId="16432A79" w14:textId="678AD642" w:rsidR="00240C04" w:rsidRDefault="00A81752" w:rsidP="00D25527">
      <w:pPr>
        <w:spacing w:after="0"/>
        <w:ind w:right="-330"/>
        <w:jc w:val="both"/>
      </w:pPr>
      <w:r>
        <w:t>Outgoing</w:t>
      </w:r>
      <w:r w:rsidR="00240C04">
        <w:t xml:space="preserve"> </w:t>
      </w:r>
      <w:r w:rsidR="00EE79D3">
        <w:t>EAS Clinical Director</w:t>
      </w:r>
    </w:p>
    <w:p w14:paraId="226C7FFA" w14:textId="515AA474" w:rsidR="00D25527" w:rsidRDefault="00D25527" w:rsidP="00D25527">
      <w:pPr>
        <w:spacing w:after="0"/>
        <w:ind w:right="-330"/>
        <w:jc w:val="both"/>
      </w:pPr>
      <w:r>
        <w:t>23 December 2020</w:t>
      </w:r>
    </w:p>
    <w:p w14:paraId="0CA70CAD" w14:textId="77777777" w:rsidR="00DC27C9" w:rsidRDefault="00DC27C9" w:rsidP="00FB0EF2">
      <w:pPr>
        <w:ind w:right="-330"/>
        <w:rPr>
          <w:b/>
        </w:rPr>
      </w:pPr>
    </w:p>
    <w:p w14:paraId="7F9E1280" w14:textId="77777777" w:rsidR="00C83CE7" w:rsidRPr="00C2498A" w:rsidRDefault="00DC27C9" w:rsidP="008A2997">
      <w:pPr>
        <w:pStyle w:val="Heading2"/>
      </w:pPr>
      <w:r w:rsidRPr="00C2498A">
        <w:t>Introduction</w:t>
      </w:r>
    </w:p>
    <w:p w14:paraId="336401D4" w14:textId="06499E6E" w:rsidR="00D70F98" w:rsidRDefault="00731F75" w:rsidP="00731F75">
      <w:pPr>
        <w:ind w:right="-330"/>
      </w:pPr>
      <w:bookmarkStart w:id="0" w:name="_Hlk58950070"/>
      <w:r>
        <w:t xml:space="preserve">The Testing for COVID-19: Early Alert Service </w:t>
      </w:r>
      <w:r w:rsidR="004B63F0">
        <w:t xml:space="preserve">(EAS) </w:t>
      </w:r>
      <w:r>
        <w:t xml:space="preserve">was launched to minimise the impact of students and staff arriving at the beginning of Michaelmas term with COVID-19 infections by acting early to identify and isolate cases within the University. Alongside keeping all members of the collegiate University as safe as possible through easy access to testing, a major objective was to avoid disruption to local health services and </w:t>
      </w:r>
      <w:r w:rsidR="004B63F0">
        <w:t xml:space="preserve">to </w:t>
      </w:r>
      <w:r>
        <w:t xml:space="preserve">help protect the local Oxford community by minimising the spread of the virus. </w:t>
      </w:r>
    </w:p>
    <w:p w14:paraId="1EA6E4A1" w14:textId="77777777" w:rsidR="00D70F98" w:rsidRDefault="00D70F98" w:rsidP="00731F75">
      <w:pPr>
        <w:ind w:right="-330"/>
      </w:pPr>
    </w:p>
    <w:p w14:paraId="7AF1A6CC" w14:textId="64A1AEF3" w:rsidR="00D70F98" w:rsidRPr="00D70F98" w:rsidRDefault="003D5F0A" w:rsidP="008A2997">
      <w:pPr>
        <w:pStyle w:val="Heading2"/>
      </w:pPr>
      <w:r>
        <w:t xml:space="preserve">Success of the </w:t>
      </w:r>
      <w:r w:rsidR="0067074F">
        <w:t>testing service in Michaelmas term</w:t>
      </w:r>
    </w:p>
    <w:p w14:paraId="54E23AC1" w14:textId="7DAB9BB0" w:rsidR="00AA035C" w:rsidRDefault="00D83E1F" w:rsidP="00D70F98">
      <w:pPr>
        <w:spacing w:after="0"/>
        <w:ind w:right="-330"/>
        <w:jc w:val="both"/>
      </w:pPr>
      <w:r>
        <w:t xml:space="preserve">EAS provided RT-PCR testing for SARS-CoV-2 for all staff or students with symptoms of COVID-19 infection. </w:t>
      </w:r>
      <w:r w:rsidR="003700C3">
        <w:t>From mid-August when the Service was launched, a</w:t>
      </w:r>
      <w:r>
        <w:t xml:space="preserve"> total of 5,842 tests were undertaken before the testing centres closed for Christmas. </w:t>
      </w:r>
      <w:r w:rsidR="004B63F0">
        <w:t>EAS was successful in containing the spread of COVID-19 among staff and students</w:t>
      </w:r>
      <w:r w:rsidR="00D25527">
        <w:t xml:space="preserve"> in Michaelmas term</w:t>
      </w:r>
      <w:r w:rsidR="004B63F0">
        <w:t xml:space="preserve">. </w:t>
      </w:r>
      <w:r w:rsidR="00AA035C">
        <w:t>It</w:t>
      </w:r>
      <w:r w:rsidR="00D25527">
        <w:t xml:space="preserve"> </w:t>
      </w:r>
      <w:r w:rsidR="00AA035C">
        <w:t xml:space="preserve">not only </w:t>
      </w:r>
      <w:r w:rsidR="00D25527">
        <w:t xml:space="preserve">enabled the University to </w:t>
      </w:r>
      <w:r w:rsidR="004B63F0">
        <w:t xml:space="preserve">contain </w:t>
      </w:r>
      <w:r w:rsidR="00D25527">
        <w:t xml:space="preserve">a </w:t>
      </w:r>
      <w:r w:rsidR="002E5E91">
        <w:t>spike</w:t>
      </w:r>
      <w:r w:rsidR="00D25527">
        <w:t xml:space="preserve"> that arose</w:t>
      </w:r>
      <w:r w:rsidR="004B63F0">
        <w:t xml:space="preserve"> within college communities</w:t>
      </w:r>
      <w:r w:rsidR="00AA035C">
        <w:t>, but also resulted in a low number of staff cases – much lower than in the general population</w:t>
      </w:r>
      <w:r w:rsidR="00D25527">
        <w:t xml:space="preserve">. </w:t>
      </w:r>
      <w:r w:rsidR="00AA035C">
        <w:t xml:space="preserve">This </w:t>
      </w:r>
      <w:r w:rsidR="003D5F0A">
        <w:t>includes</w:t>
      </w:r>
      <w:r w:rsidR="00AA035C">
        <w:t xml:space="preserve"> external positive tests</w:t>
      </w:r>
      <w:r w:rsidR="00CD12DB">
        <w:t>;</w:t>
      </w:r>
      <w:r w:rsidR="00AA035C">
        <w:t xml:space="preserve"> 41 staff tested PCR positive outside the EAS system, mainly because they were working from home (so sought NHS testing locally) or were participating in the Oxford University Hospitals staff testing programme. </w:t>
      </w:r>
    </w:p>
    <w:p w14:paraId="1B9AAE00" w14:textId="77777777" w:rsidR="00AA035C" w:rsidRDefault="00AA035C" w:rsidP="00D70F98">
      <w:pPr>
        <w:spacing w:after="0"/>
        <w:ind w:right="-330"/>
        <w:jc w:val="both"/>
      </w:pPr>
    </w:p>
    <w:p w14:paraId="0F37D1B7" w14:textId="6FF5E43F" w:rsidR="00AA035C" w:rsidRDefault="003D5F0A" w:rsidP="00AA035C">
      <w:pPr>
        <w:ind w:right="-330"/>
      </w:pPr>
      <w:r>
        <w:t>T</w:t>
      </w:r>
      <w:r w:rsidR="00AA035C">
        <w:t xml:space="preserve">he three key lessons </w:t>
      </w:r>
      <w:r>
        <w:t>to</w:t>
      </w:r>
      <w:r w:rsidR="00AA035C">
        <w:t xml:space="preserve"> take away from the EAS experience in Michaelmas term are:</w:t>
      </w:r>
    </w:p>
    <w:p w14:paraId="6B7513B3" w14:textId="77777777" w:rsidR="00AA035C" w:rsidRDefault="00AA035C" w:rsidP="00AA035C">
      <w:pPr>
        <w:pStyle w:val="ListParagraph"/>
        <w:numPr>
          <w:ilvl w:val="0"/>
          <w:numId w:val="10"/>
        </w:numPr>
        <w:ind w:right="-330"/>
      </w:pPr>
      <w:r>
        <w:t>In a collegiate University, outbreaks can be contained by symptomatic testing alone if there is easy access to immediate testing, results are not delayed, and isolation of index cases and their close contacts is rapid and effective.</w:t>
      </w:r>
    </w:p>
    <w:p w14:paraId="0581990A" w14:textId="77777777" w:rsidR="00AA035C" w:rsidRDefault="00AA035C" w:rsidP="00AA035C">
      <w:pPr>
        <w:pStyle w:val="ListParagraph"/>
        <w:numPr>
          <w:ilvl w:val="0"/>
          <w:numId w:val="10"/>
        </w:numPr>
        <w:ind w:right="-330"/>
      </w:pPr>
      <w:r>
        <w:t>Asymptomatic testing on arrival in Hilary term could reduce seeding and hence the likelihood of a major outbreak.</w:t>
      </w:r>
    </w:p>
    <w:p w14:paraId="57D8D465" w14:textId="71F958B8" w:rsidR="00AA035C" w:rsidRDefault="00AA035C" w:rsidP="00AA035C">
      <w:pPr>
        <w:pStyle w:val="ListParagraph"/>
        <w:numPr>
          <w:ilvl w:val="0"/>
          <w:numId w:val="10"/>
        </w:numPr>
        <w:ind w:right="-330"/>
      </w:pPr>
      <w:r>
        <w:t xml:space="preserve">The public health measures that have been put in place by the University are effective and will </w:t>
      </w:r>
      <w:r w:rsidR="006F7783">
        <w:t xml:space="preserve">limit the </w:t>
      </w:r>
      <w:r>
        <w:t xml:space="preserve">spread of outbreaks (both from students to staff and to the general population), but the end-of-term resurgence of the virus means they will need to be </w:t>
      </w:r>
      <w:r w:rsidRPr="00DB66AF">
        <w:t xml:space="preserve">continued </w:t>
      </w:r>
      <w:r w:rsidRPr="00730C33">
        <w:t>this</w:t>
      </w:r>
      <w:r>
        <w:t xml:space="preserve"> </w:t>
      </w:r>
      <w:r w:rsidRPr="00DB66AF">
        <w:t>term</w:t>
      </w:r>
      <w:r>
        <w:t xml:space="preserve"> until those at significant risk have been vaccinated.</w:t>
      </w:r>
    </w:p>
    <w:p w14:paraId="01DF98E3" w14:textId="6DAC1328" w:rsidR="00AA035C" w:rsidRDefault="00D25527" w:rsidP="009D7F00">
      <w:pPr>
        <w:spacing w:after="0"/>
        <w:ind w:right="-330"/>
        <w:jc w:val="both"/>
      </w:pPr>
      <w:r>
        <w:t>However, as</w:t>
      </w:r>
      <w:r w:rsidR="00731F75">
        <w:t xml:space="preserve"> I said in </w:t>
      </w:r>
      <w:hyperlink r:id="rId7" w:history="1">
        <w:r w:rsidR="00731F75" w:rsidRPr="00661112">
          <w:rPr>
            <w:rStyle w:val="Hyperlink"/>
          </w:rPr>
          <w:t>my recent blog</w:t>
        </w:r>
      </w:hyperlink>
      <w:r w:rsidR="00731F75">
        <w:t xml:space="preserve"> in the </w:t>
      </w:r>
      <w:r w:rsidR="00731F75">
        <w:t>University Bulletin, testing is only a small part of containing COVID-19 infection. Although I’m extremely proud of the team of nurses and students who staffed the two testing pods despite the personal risk, the success of the EAS programme depended on the effectiveness of the action taken when positive SARS-CoV-2 results were reported. It is the students and staff themselves, observing self-isolation rules despite the personal cost</w:t>
      </w:r>
      <w:r w:rsidR="00731F75" w:rsidRPr="00985DA4">
        <w:t xml:space="preserve"> </w:t>
      </w:r>
      <w:r w:rsidR="00731F75">
        <w:t>(whether index cases or close</w:t>
      </w:r>
      <w:r w:rsidR="00C955D5">
        <w:t xml:space="preserve"> </w:t>
      </w:r>
      <w:r w:rsidR="00731F75">
        <w:t xml:space="preserve">contacts), who need to take the main credit. Nevertheless, the College and Departmental COVID teams (the </w:t>
      </w:r>
      <w:r w:rsidR="008A2997">
        <w:t>‘</w:t>
      </w:r>
      <w:r w:rsidR="00731F75">
        <w:t>SPOCs</w:t>
      </w:r>
      <w:r w:rsidR="008A2997">
        <w:t>’</w:t>
      </w:r>
      <w:r w:rsidR="00731F75">
        <w:t>) who supported them also deserve recognition and thanks – as well as the EAS Results Liaison Team who supported the SPOCs.</w:t>
      </w:r>
    </w:p>
    <w:p w14:paraId="63733AD6" w14:textId="77777777" w:rsidR="001052A1" w:rsidRDefault="001052A1" w:rsidP="00731F75">
      <w:pPr>
        <w:ind w:right="-330"/>
      </w:pPr>
    </w:p>
    <w:p w14:paraId="48FEBB7A" w14:textId="441804C6" w:rsidR="00731F75" w:rsidRDefault="00731F75" w:rsidP="00731F75">
      <w:pPr>
        <w:ind w:right="-330"/>
      </w:pPr>
      <w:r>
        <w:t xml:space="preserve">And it bears repeating that the EAS is a tremendous example of NHS–University joint working, as well as of teamwork within the University. I will not name individuals because of the risk of omitting people </w:t>
      </w:r>
      <w:r>
        <w:lastRenderedPageBreak/>
        <w:t xml:space="preserve">who played an important role, but the service would not have happened without the NHS staff at the John Radcliffe Hospital microbiology laboratory, the Medical Sciences IT and University Estates teams, and the College and Department SPOCs </w:t>
      </w:r>
      <w:r w:rsidR="008F663F">
        <w:t>–</w:t>
      </w:r>
      <w:r>
        <w:t xml:space="preserve"> and of course both our medical students and </w:t>
      </w:r>
      <w:r w:rsidR="008F663F">
        <w:t xml:space="preserve">a </w:t>
      </w:r>
      <w:r>
        <w:t xml:space="preserve">“Dad’s Army” of clinician volunteers. </w:t>
      </w:r>
    </w:p>
    <w:bookmarkEnd w:id="0"/>
    <w:p w14:paraId="6E0F7D0E" w14:textId="77777777" w:rsidR="00DC27C9" w:rsidRDefault="00DC27C9" w:rsidP="00FB0EF2">
      <w:pPr>
        <w:ind w:right="-330"/>
        <w:rPr>
          <w:b/>
          <w:i/>
        </w:rPr>
      </w:pPr>
    </w:p>
    <w:p w14:paraId="633D6C55" w14:textId="77777777" w:rsidR="006E2D85" w:rsidRPr="00C2498A" w:rsidRDefault="00DC27C9" w:rsidP="008A2997">
      <w:pPr>
        <w:pStyle w:val="Heading2"/>
      </w:pPr>
      <w:r w:rsidRPr="00C2498A">
        <w:t>The e</w:t>
      </w:r>
      <w:r w:rsidR="00B60865" w:rsidRPr="00C2498A">
        <w:t xml:space="preserve">pidemic </w:t>
      </w:r>
      <w:r w:rsidRPr="00C2498A">
        <w:t>c</w:t>
      </w:r>
      <w:r w:rsidR="00B60865" w:rsidRPr="00C2498A">
        <w:t>urve</w:t>
      </w:r>
    </w:p>
    <w:p w14:paraId="4671E899" w14:textId="29749E29" w:rsidR="00073F66" w:rsidRDefault="006830C1" w:rsidP="00FB0EF2">
      <w:pPr>
        <w:ind w:right="-330"/>
      </w:pPr>
      <w:r>
        <w:t xml:space="preserve">The epidemic curve for the Michaelmas </w:t>
      </w:r>
      <w:r w:rsidR="00455BAC">
        <w:t>t</w:t>
      </w:r>
      <w:r>
        <w:t xml:space="preserve">erm is shown in Figure 1 below. </w:t>
      </w:r>
      <w:r w:rsidR="00B60865">
        <w:t xml:space="preserve">EAS </w:t>
      </w:r>
      <w:r w:rsidR="005D7F49">
        <w:t xml:space="preserve">reported its first </w:t>
      </w:r>
      <w:r w:rsidR="00793885">
        <w:t xml:space="preserve">SARS-CoV-2 </w:t>
      </w:r>
      <w:r w:rsidR="005D7F49">
        <w:t xml:space="preserve">positive case on </w:t>
      </w:r>
      <w:r w:rsidR="00C2058E">
        <w:t xml:space="preserve">13 </w:t>
      </w:r>
      <w:r w:rsidR="005D7F49">
        <w:t xml:space="preserve">September. </w:t>
      </w:r>
      <w:r w:rsidR="00B60865">
        <w:t xml:space="preserve">The number of positive </w:t>
      </w:r>
      <w:r w:rsidR="00073F66">
        <w:t>cases</w:t>
      </w:r>
      <w:r w:rsidR="00B60865">
        <w:t xml:space="preserve"> increased with the arrival of undergraduate students </w:t>
      </w:r>
      <w:r w:rsidR="00073F66">
        <w:t xml:space="preserve">on the weekend of </w:t>
      </w:r>
      <w:r w:rsidR="00455BAC">
        <w:t xml:space="preserve">3/4 </w:t>
      </w:r>
      <w:r w:rsidR="00F87A6F">
        <w:t>October</w:t>
      </w:r>
      <w:r w:rsidR="00B60865">
        <w:t xml:space="preserve">, </w:t>
      </w:r>
      <w:r w:rsidR="00F87A6F">
        <w:t xml:space="preserve">with a </w:t>
      </w:r>
      <w:r w:rsidR="002E5E91">
        <w:t>spike</w:t>
      </w:r>
      <w:r w:rsidR="00F87A6F">
        <w:t xml:space="preserve"> the following week (which peaked </w:t>
      </w:r>
      <w:r w:rsidR="00B60865">
        <w:t xml:space="preserve">on </w:t>
      </w:r>
      <w:r w:rsidR="00455BAC">
        <w:t xml:space="preserve">16 </w:t>
      </w:r>
      <w:r w:rsidR="00B60865">
        <w:t>October</w:t>
      </w:r>
      <w:r w:rsidR="00F87A6F">
        <w:t>)</w:t>
      </w:r>
      <w:r w:rsidR="009C3E11">
        <w:t>.</w:t>
      </w:r>
      <w:r w:rsidR="00F87A6F">
        <w:t xml:space="preserve"> It took </w:t>
      </w:r>
      <w:r w:rsidR="009C3E11">
        <w:t xml:space="preserve">approximately </w:t>
      </w:r>
      <w:r w:rsidR="00F87A6F">
        <w:t>4 weeks for th</w:t>
      </w:r>
      <w:r w:rsidR="00073F66">
        <w:t>is</w:t>
      </w:r>
      <w:r w:rsidR="00F87A6F">
        <w:t xml:space="preserve"> </w:t>
      </w:r>
      <w:r w:rsidR="002E5E91">
        <w:t>spike</w:t>
      </w:r>
      <w:r w:rsidR="00455BAC">
        <w:t xml:space="preserve"> </w:t>
      </w:r>
      <w:r w:rsidR="00F87A6F">
        <w:t xml:space="preserve">in cases to be contained to </w:t>
      </w:r>
      <w:r w:rsidR="009C3E11">
        <w:t>pre</w:t>
      </w:r>
      <w:r w:rsidR="00455BAC">
        <w:t>vious</w:t>
      </w:r>
      <w:r w:rsidR="009C3E11">
        <w:t xml:space="preserve"> levels. The first day with no positive cases reported was </w:t>
      </w:r>
      <w:r w:rsidR="00E350F6">
        <w:t xml:space="preserve">24 </w:t>
      </w:r>
      <w:r w:rsidR="009C3E11">
        <w:t>November</w:t>
      </w:r>
      <w:r w:rsidR="00793885">
        <w:t>.</w:t>
      </w:r>
      <w:r w:rsidR="009C3E11">
        <w:t xml:space="preserve"> </w:t>
      </w:r>
    </w:p>
    <w:p w14:paraId="7E200ACA" w14:textId="77777777" w:rsidR="008A2997" w:rsidRDefault="00F01D62" w:rsidP="008A2997">
      <w:pPr>
        <w:keepNext/>
        <w:ind w:right="-330"/>
        <w:jc w:val="center"/>
      </w:pPr>
      <w:r>
        <w:rPr>
          <w:noProof/>
          <w:lang w:val="en-US"/>
        </w:rPr>
        <w:drawing>
          <wp:inline distT="0" distB="0" distL="0" distR="0" wp14:anchorId="5E3EB223" wp14:editId="68F8F368">
            <wp:extent cx="5041900" cy="2168828"/>
            <wp:effectExtent l="0" t="0" r="6350" b="3175"/>
            <wp:docPr id="19" name="Picture 19" descr="Graph showing the Oxford SARS-CoV-2 epidemic curve for Michaelmas T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 showing the Oxford SARS-CoV-2 epidemic curve for Michaelmas Ter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6264" cy="2175007"/>
                    </a:xfrm>
                    <a:prstGeom prst="rect">
                      <a:avLst/>
                    </a:prstGeom>
                    <a:noFill/>
                  </pic:spPr>
                </pic:pic>
              </a:graphicData>
            </a:graphic>
          </wp:inline>
        </w:drawing>
      </w:r>
    </w:p>
    <w:p w14:paraId="455D9F6B" w14:textId="1D557B31" w:rsidR="006F1B08" w:rsidRDefault="008A2997" w:rsidP="008A2997">
      <w:pPr>
        <w:pStyle w:val="Caption"/>
        <w:jc w:val="center"/>
      </w:pPr>
      <w:r>
        <w:t xml:space="preserve">Figure </w:t>
      </w:r>
      <w:fldSimple w:instr=" SEQ Figure \* ARABIC ">
        <w:r w:rsidR="0091445C">
          <w:rPr>
            <w:noProof/>
          </w:rPr>
          <w:t>1</w:t>
        </w:r>
      </w:fldSimple>
      <w:r>
        <w:t xml:space="preserve">: </w:t>
      </w:r>
      <w:r w:rsidRPr="009E360B">
        <w:t>SARS-CoV-2 epidemic curve for Michaelmas Term</w:t>
      </w:r>
    </w:p>
    <w:p w14:paraId="33B99467" w14:textId="0E0F330D" w:rsidR="0098059F" w:rsidRDefault="0098059F" w:rsidP="00FB0EF2">
      <w:pPr>
        <w:ind w:right="-330"/>
      </w:pPr>
      <w:r>
        <w:t xml:space="preserve">The average number of cases from </w:t>
      </w:r>
      <w:r w:rsidR="00C2058E">
        <w:t xml:space="preserve">25 </w:t>
      </w:r>
      <w:r>
        <w:t xml:space="preserve">November until the end of the undergraduate student travel window on </w:t>
      </w:r>
      <w:r w:rsidR="00C2058E">
        <w:t xml:space="preserve">9 </w:t>
      </w:r>
      <w:r>
        <w:t xml:space="preserve">December remained </w:t>
      </w:r>
      <w:r w:rsidR="00CB065F">
        <w:t xml:space="preserve">about 50% </w:t>
      </w:r>
      <w:r>
        <w:t>higher than it had been in the two weeks before the start of the undergraduate term</w:t>
      </w:r>
      <w:r w:rsidR="00CB065F">
        <w:t xml:space="preserve">, </w:t>
      </w:r>
      <w:r>
        <w:t xml:space="preserve">but this </w:t>
      </w:r>
      <w:r w:rsidR="007B775F">
        <w:t xml:space="preserve">in part </w:t>
      </w:r>
      <w:r>
        <w:t>reflect</w:t>
      </w:r>
      <w:r w:rsidR="007B775F">
        <w:t>s</w:t>
      </w:r>
      <w:r>
        <w:t xml:space="preserve"> the impact of the government Christmas Travel testing programme</w:t>
      </w:r>
      <w:r w:rsidR="00F5786F">
        <w:t>;</w:t>
      </w:r>
      <w:r w:rsidR="007B775F">
        <w:t xml:space="preserve"> </w:t>
      </w:r>
      <w:r w:rsidR="0092427E">
        <w:t>two-fifths (</w:t>
      </w:r>
      <w:r>
        <w:t>20/5</w:t>
      </w:r>
      <w:r w:rsidR="0092427E">
        <w:t>0)</w:t>
      </w:r>
      <w:r>
        <w:t xml:space="preserve"> of the positive PCR tests </w:t>
      </w:r>
      <w:r w:rsidR="0092427E">
        <w:t>during this period</w:t>
      </w:r>
      <w:r>
        <w:t xml:space="preserve"> were confirming positive </w:t>
      </w:r>
      <w:r w:rsidR="007B775F">
        <w:t>LFD</w:t>
      </w:r>
      <w:r>
        <w:t xml:space="preserve"> tests in asymptomatic students.</w:t>
      </w:r>
    </w:p>
    <w:p w14:paraId="717F06A9" w14:textId="5454727C" w:rsidR="003514C3" w:rsidRDefault="00B1305E" w:rsidP="00FB0EF2">
      <w:pPr>
        <w:ind w:right="-330"/>
      </w:pPr>
      <w:r>
        <w:t>About 1 in 5 of those tested (1</w:t>
      </w:r>
      <w:r w:rsidR="00012421">
        <w:t>,</w:t>
      </w:r>
      <w:r>
        <w:t>1</w:t>
      </w:r>
      <w:r w:rsidR="00DF5538">
        <w:t>41</w:t>
      </w:r>
      <w:r>
        <w:t>/5</w:t>
      </w:r>
      <w:r w:rsidR="00012421">
        <w:t>,</w:t>
      </w:r>
      <w:r w:rsidR="00DF5538">
        <w:t>842</w:t>
      </w:r>
      <w:r>
        <w:t>, 19.</w:t>
      </w:r>
      <w:r w:rsidR="00DF5538">
        <w:t>5</w:t>
      </w:r>
      <w:r>
        <w:t xml:space="preserve">%) had a SARS-Cov-2 positive result. </w:t>
      </w:r>
      <w:r w:rsidR="007F7913">
        <w:t xml:space="preserve">The </w:t>
      </w:r>
      <w:r>
        <w:t>proportion of positive tests</w:t>
      </w:r>
      <w:r w:rsidR="002A35BC">
        <w:t xml:space="preserve"> each week varied from 1% before term began to a peak of 33% in early November (see </w:t>
      </w:r>
      <w:r w:rsidR="003514C3">
        <w:t>Figure 2</w:t>
      </w:r>
      <w:r w:rsidR="002A35BC">
        <w:t xml:space="preserve">), </w:t>
      </w:r>
      <w:r w:rsidR="007B775F">
        <w:t xml:space="preserve">mainly </w:t>
      </w:r>
      <w:r w:rsidR="002A35BC">
        <w:t xml:space="preserve">reflecting the </w:t>
      </w:r>
      <w:r w:rsidR="007B775F">
        <w:t xml:space="preserve">increasing </w:t>
      </w:r>
      <w:r w:rsidR="002A35BC">
        <w:t xml:space="preserve">prevalence of </w:t>
      </w:r>
      <w:r w:rsidR="000F0C2C">
        <w:t>COVID</w:t>
      </w:r>
      <w:r w:rsidR="00E96BAE">
        <w:t>-19</w:t>
      </w:r>
      <w:r w:rsidR="002A35BC">
        <w:t xml:space="preserve"> a</w:t>
      </w:r>
      <w:r w:rsidR="007B775F">
        <w:t xml:space="preserve">s </w:t>
      </w:r>
      <w:r w:rsidR="00E96BAE">
        <w:t>the</w:t>
      </w:r>
      <w:r w:rsidR="007B775F">
        <w:t xml:space="preserve"> cause of upper respiratory symptoms. However, </w:t>
      </w:r>
      <w:r>
        <w:t>the positivity rate</w:t>
      </w:r>
      <w:r w:rsidR="007B775F">
        <w:t xml:space="preserve"> </w:t>
      </w:r>
      <w:r>
        <w:t>will</w:t>
      </w:r>
      <w:r w:rsidR="007B775F">
        <w:t xml:space="preserve"> also reflect changing criteria for symptomatic testing. As the demand for testing increased, we</w:t>
      </w:r>
      <w:r w:rsidR="002A35BC">
        <w:t xml:space="preserve"> </w:t>
      </w:r>
      <w:r w:rsidR="005F323F">
        <w:t>restrict</w:t>
      </w:r>
      <w:r w:rsidR="003700C3">
        <w:t>ed</w:t>
      </w:r>
      <w:r w:rsidR="005F323F">
        <w:t xml:space="preserve"> testing to individuals with </w:t>
      </w:r>
      <w:r w:rsidR="00E96BAE">
        <w:t xml:space="preserve">the </w:t>
      </w:r>
      <w:r w:rsidR="005F323F">
        <w:t xml:space="preserve">cardinal symptoms (fever, cough and loss of taste/smell) </w:t>
      </w:r>
      <w:r w:rsidR="007B775F">
        <w:t>to ensure laboratory capacity was not overwhelmed</w:t>
      </w:r>
      <w:r w:rsidR="005F323F">
        <w:t>.</w:t>
      </w:r>
    </w:p>
    <w:p w14:paraId="422517D1" w14:textId="77777777" w:rsidR="00F964C1" w:rsidRDefault="00A952A7" w:rsidP="00F964C1">
      <w:pPr>
        <w:keepNext/>
        <w:ind w:right="-330"/>
        <w:jc w:val="center"/>
      </w:pPr>
      <w:r>
        <w:rPr>
          <w:noProof/>
          <w:lang w:val="en-US"/>
        </w:rPr>
        <w:lastRenderedPageBreak/>
        <w:drawing>
          <wp:inline distT="0" distB="0" distL="0" distR="0" wp14:anchorId="370B11B5" wp14:editId="1A3CC58B">
            <wp:extent cx="4825741" cy="2036348"/>
            <wp:effectExtent l="0" t="0" r="0" b="2540"/>
            <wp:docPr id="15" name="Picture 15" descr="Graph showing the proportion of Oxford RT-PCR tests reported as positive each week, 7 September - 20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 showing the proportion of Oxford RT-PCR tests reported as positive each week, 7 September - 20 December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204" cy="2047093"/>
                    </a:xfrm>
                    <a:prstGeom prst="rect">
                      <a:avLst/>
                    </a:prstGeom>
                    <a:noFill/>
                  </pic:spPr>
                </pic:pic>
              </a:graphicData>
            </a:graphic>
          </wp:inline>
        </w:drawing>
      </w:r>
    </w:p>
    <w:p w14:paraId="05694978" w14:textId="46190570" w:rsidR="007F7913" w:rsidRDefault="00F964C1" w:rsidP="00F964C1">
      <w:pPr>
        <w:pStyle w:val="Caption"/>
        <w:jc w:val="center"/>
      </w:pPr>
      <w:r>
        <w:t xml:space="preserve">Figure </w:t>
      </w:r>
      <w:fldSimple w:instr=" SEQ Figure \* ARABIC ">
        <w:r w:rsidR="0091445C">
          <w:rPr>
            <w:noProof/>
          </w:rPr>
          <w:t>2</w:t>
        </w:r>
      </w:fldSimple>
      <w:r w:rsidRPr="0032421D">
        <w:t>: Proportion of RT-PCR tests reported as positive each week</w:t>
      </w:r>
    </w:p>
    <w:p w14:paraId="33343BCA" w14:textId="77777777" w:rsidR="00DC27C9" w:rsidRPr="003514C3" w:rsidRDefault="00DC27C9" w:rsidP="00FB0EF2">
      <w:pPr>
        <w:ind w:right="-330"/>
        <w:rPr>
          <w:b/>
        </w:rPr>
      </w:pPr>
    </w:p>
    <w:p w14:paraId="75E67AE3" w14:textId="77777777" w:rsidR="008808F6" w:rsidRPr="00C2498A" w:rsidRDefault="001E0A62" w:rsidP="00F964C1">
      <w:pPr>
        <w:pStyle w:val="Heading2"/>
      </w:pPr>
      <w:r w:rsidRPr="00C2498A">
        <w:t>Comparison of i</w:t>
      </w:r>
      <w:r w:rsidR="005F323F" w:rsidRPr="00C2498A">
        <w:t>nfection rates</w:t>
      </w:r>
      <w:r w:rsidR="00230C30" w:rsidRPr="00C2498A">
        <w:t xml:space="preserve"> in s</w:t>
      </w:r>
      <w:r w:rsidR="008808F6" w:rsidRPr="00C2498A">
        <w:t>tudents and staff</w:t>
      </w:r>
    </w:p>
    <w:p w14:paraId="260553BF" w14:textId="78262BB2" w:rsidR="00C21231" w:rsidRPr="00B1305E" w:rsidRDefault="00B1305E" w:rsidP="00FB0EF2">
      <w:pPr>
        <w:spacing w:after="0"/>
        <w:ind w:right="-330"/>
        <w:rPr>
          <w:bCs/>
        </w:rPr>
      </w:pPr>
      <w:r>
        <w:t>Of the 1</w:t>
      </w:r>
      <w:r w:rsidR="001F292E">
        <w:t>,</w:t>
      </w:r>
      <w:r>
        <w:t>1</w:t>
      </w:r>
      <w:r w:rsidR="00634F99">
        <w:t>41</w:t>
      </w:r>
      <w:r>
        <w:t xml:space="preserve"> individuals </w:t>
      </w:r>
      <w:r w:rsidR="005E3281">
        <w:t xml:space="preserve">who </w:t>
      </w:r>
      <w:r>
        <w:t>test</w:t>
      </w:r>
      <w:r w:rsidR="005E3281">
        <w:t>ed</w:t>
      </w:r>
      <w:r>
        <w:t xml:space="preserve"> positive, </w:t>
      </w:r>
      <w:r w:rsidR="00DC0840">
        <w:t>the vast majority (</w:t>
      </w:r>
      <w:r>
        <w:t>1</w:t>
      </w:r>
      <w:r w:rsidR="001F292E">
        <w:t>,</w:t>
      </w:r>
      <w:r w:rsidR="00634F99">
        <w:t>071</w:t>
      </w:r>
      <w:r w:rsidR="00DC0840">
        <w:t>, 9</w:t>
      </w:r>
      <w:r w:rsidR="00634F99">
        <w:t>4</w:t>
      </w:r>
      <w:r w:rsidR="00DC0840">
        <w:t>%)</w:t>
      </w:r>
      <w:r>
        <w:t xml:space="preserve"> </w:t>
      </w:r>
      <w:r w:rsidR="0070234A">
        <w:t xml:space="preserve">were students </w:t>
      </w:r>
      <w:r>
        <w:t xml:space="preserve">– see </w:t>
      </w:r>
      <w:r w:rsidR="00DC27C9">
        <w:t xml:space="preserve">Figure </w:t>
      </w:r>
      <w:r w:rsidR="007B775F">
        <w:t>3</w:t>
      </w:r>
      <w:r w:rsidR="00DC27C9">
        <w:t xml:space="preserve">. </w:t>
      </w:r>
      <w:r w:rsidR="00C15F7C">
        <w:t>Of the</w:t>
      </w:r>
      <w:r w:rsidR="006536CD">
        <w:t>se</w:t>
      </w:r>
      <w:r w:rsidR="00C15F7C">
        <w:t xml:space="preserve"> </w:t>
      </w:r>
      <w:r w:rsidR="001D2D57">
        <w:t>1</w:t>
      </w:r>
      <w:r w:rsidR="001F292E">
        <w:t>,</w:t>
      </w:r>
      <w:r w:rsidR="001D2D57">
        <w:t>0</w:t>
      </w:r>
      <w:r w:rsidR="00634F99">
        <w:t>71</w:t>
      </w:r>
      <w:r w:rsidR="001D2D57">
        <w:t xml:space="preserve"> students, 8</w:t>
      </w:r>
      <w:r w:rsidR="00290AE5">
        <w:t>9</w:t>
      </w:r>
      <w:r w:rsidR="00EF509E">
        <w:t>5</w:t>
      </w:r>
      <w:r w:rsidR="00634F99">
        <w:t xml:space="preserve"> </w:t>
      </w:r>
      <w:r w:rsidR="001D2D57">
        <w:t>were undergraduates (8</w:t>
      </w:r>
      <w:r w:rsidR="00290AE5">
        <w:t>4</w:t>
      </w:r>
      <w:r w:rsidR="001D2D57">
        <w:t>%), 1</w:t>
      </w:r>
      <w:r w:rsidR="00634F99">
        <w:t>7</w:t>
      </w:r>
      <w:r w:rsidR="00EF509E">
        <w:t>1</w:t>
      </w:r>
      <w:r w:rsidR="001D2D57">
        <w:t xml:space="preserve"> postgraduates (1</w:t>
      </w:r>
      <w:r w:rsidR="00290AE5">
        <w:t>5</w:t>
      </w:r>
      <w:r w:rsidR="001D2D57">
        <w:t xml:space="preserve">%) and </w:t>
      </w:r>
      <w:r w:rsidR="00290AE5">
        <w:t>5</w:t>
      </w:r>
      <w:r w:rsidR="001D2D57">
        <w:t xml:space="preserve"> visit</w:t>
      </w:r>
      <w:r w:rsidR="0070234A">
        <w:t>ors</w:t>
      </w:r>
      <w:r w:rsidR="001D2D57">
        <w:t xml:space="preserve">. Of the </w:t>
      </w:r>
      <w:r w:rsidR="00634F99">
        <w:t>70</w:t>
      </w:r>
      <w:r w:rsidR="001D2D57">
        <w:t xml:space="preserve"> staff, </w:t>
      </w:r>
      <w:r w:rsidR="00290AE5">
        <w:t>2</w:t>
      </w:r>
      <w:r w:rsidR="00634F99">
        <w:t>6</w:t>
      </w:r>
      <w:r w:rsidR="001D2D57">
        <w:t xml:space="preserve"> had a College affiliation</w:t>
      </w:r>
      <w:r w:rsidR="009377FB">
        <w:t xml:space="preserve"> and</w:t>
      </w:r>
      <w:r w:rsidR="00634F99">
        <w:t xml:space="preserve"> 7</w:t>
      </w:r>
      <w:r w:rsidR="009377FB">
        <w:t xml:space="preserve"> lived in College.</w:t>
      </w:r>
      <w:r w:rsidR="005F323F">
        <w:t xml:space="preserve"> Overall, 4.</w:t>
      </w:r>
      <w:r w:rsidR="00290AE5">
        <w:t>4</w:t>
      </w:r>
      <w:r w:rsidR="005F323F">
        <w:t>% of all students and 0.</w:t>
      </w:r>
      <w:r w:rsidR="00634F99">
        <w:t>5</w:t>
      </w:r>
      <w:r w:rsidR="005F323F">
        <w:t>% of all staff</w:t>
      </w:r>
      <w:r w:rsidR="00396603">
        <w:t xml:space="preserve"> in the Universi</w:t>
      </w:r>
      <w:r w:rsidR="004628C8">
        <w:t>ty</w:t>
      </w:r>
      <w:r w:rsidR="00396603">
        <w:t xml:space="preserve"> </w:t>
      </w:r>
      <w:r w:rsidR="00F16FB6">
        <w:t>had EAS</w:t>
      </w:r>
      <w:r w:rsidR="00396603">
        <w:t xml:space="preserve"> positive </w:t>
      </w:r>
      <w:r w:rsidR="00F16FB6">
        <w:t xml:space="preserve">tests </w:t>
      </w:r>
      <w:r w:rsidR="00396603">
        <w:t xml:space="preserve">during the term. </w:t>
      </w:r>
    </w:p>
    <w:p w14:paraId="54DCB666" w14:textId="370584BA" w:rsidR="009377FB" w:rsidRPr="005F323F" w:rsidRDefault="005C1CAE" w:rsidP="00FB0EF2">
      <w:pPr>
        <w:ind w:right="-330"/>
        <w:rPr>
          <w:b/>
          <w:sz w:val="20"/>
          <w:szCs w:val="20"/>
        </w:rPr>
      </w:pPr>
      <w:r>
        <w:rPr>
          <w:b/>
          <w:sz w:val="20"/>
          <w:szCs w:val="20"/>
        </w:rPr>
        <w:t xml:space="preserve">        </w:t>
      </w:r>
      <w:r w:rsidR="00C10467">
        <w:rPr>
          <w:b/>
          <w:sz w:val="20"/>
          <w:szCs w:val="20"/>
        </w:rPr>
        <w:t xml:space="preserve">    </w:t>
      </w:r>
      <w:r w:rsidR="00B1305E">
        <w:rPr>
          <w:b/>
          <w:sz w:val="20"/>
          <w:szCs w:val="20"/>
        </w:rPr>
        <w:t xml:space="preserve">  </w:t>
      </w:r>
      <w:r w:rsidR="005E3281">
        <w:rPr>
          <w:b/>
          <w:sz w:val="20"/>
          <w:szCs w:val="20"/>
        </w:rPr>
        <w:t xml:space="preserve">     </w:t>
      </w:r>
      <w:r w:rsidR="0070234A">
        <w:rPr>
          <w:b/>
          <w:sz w:val="20"/>
          <w:szCs w:val="20"/>
        </w:rPr>
        <w:t xml:space="preserve"> </w:t>
      </w:r>
    </w:p>
    <w:p w14:paraId="151AC977" w14:textId="77777777" w:rsidR="00F964C1" w:rsidRDefault="006B7FC2" w:rsidP="00F964C1">
      <w:pPr>
        <w:keepNext/>
        <w:ind w:right="-330"/>
        <w:jc w:val="center"/>
      </w:pPr>
      <w:r>
        <w:rPr>
          <w:noProof/>
          <w:lang w:val="en-US"/>
        </w:rPr>
        <w:drawing>
          <wp:inline distT="0" distB="0" distL="0" distR="0" wp14:anchorId="7821BACE" wp14:editId="2C7B5518">
            <wp:extent cx="4766147" cy="2203450"/>
            <wp:effectExtent l="0" t="0" r="0" b="6350"/>
            <wp:docPr id="14" name="Picture 14" descr="Graph showing the number of Oxford staff and students testing positive for SARS-Cov-2 (EAS RT-PCR testing) from 13 September - 18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 showing the number of Oxford staff and students testing positive for SARS-Cov-2 (EAS RT-PCR testing) from 13 September - 18 December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214" cy="2305652"/>
                    </a:xfrm>
                    <a:prstGeom prst="rect">
                      <a:avLst/>
                    </a:prstGeom>
                    <a:noFill/>
                  </pic:spPr>
                </pic:pic>
              </a:graphicData>
            </a:graphic>
          </wp:inline>
        </w:drawing>
      </w:r>
    </w:p>
    <w:p w14:paraId="324E4D09" w14:textId="5512E6AC" w:rsidR="005C1CAE" w:rsidRDefault="00F964C1" w:rsidP="00F964C1">
      <w:pPr>
        <w:pStyle w:val="Caption"/>
        <w:jc w:val="center"/>
      </w:pPr>
      <w:r>
        <w:t xml:space="preserve">Figure </w:t>
      </w:r>
      <w:fldSimple w:instr=" SEQ Figure \* ARABIC ">
        <w:r w:rsidR="0091445C">
          <w:rPr>
            <w:noProof/>
          </w:rPr>
          <w:t>3</w:t>
        </w:r>
      </w:fldSimple>
      <w:r>
        <w:t>:</w:t>
      </w:r>
      <w:r w:rsidRPr="00C04426">
        <w:t xml:space="preserve"> Number of staff and students testing positive for SARS-Cov-2 (EAS RT-PCR testing)</w:t>
      </w:r>
    </w:p>
    <w:p w14:paraId="479893F6" w14:textId="6554715B" w:rsidR="001859F7" w:rsidRDefault="001859F7" w:rsidP="00EB310C">
      <w:pPr>
        <w:spacing w:after="0"/>
        <w:ind w:right="-330"/>
      </w:pPr>
      <w:r>
        <w:t>In addition, 42 students and 24 staff reported positive PCR tests done elsewhere</w:t>
      </w:r>
      <w:r w:rsidR="0092427E">
        <w:t xml:space="preserve"> (mainly NHS Pillar 1 or 2 tests)</w:t>
      </w:r>
      <w:r>
        <w:t xml:space="preserve">, so the overall proportion of </w:t>
      </w:r>
      <w:r w:rsidR="004842F8">
        <w:t xml:space="preserve">University members with </w:t>
      </w:r>
      <w:r>
        <w:t xml:space="preserve">confirmed </w:t>
      </w:r>
      <w:r w:rsidR="000F0C2C">
        <w:t>COVID</w:t>
      </w:r>
      <w:r>
        <w:t xml:space="preserve">-19 infection </w:t>
      </w:r>
      <w:r w:rsidR="00D477BF">
        <w:t xml:space="preserve">last </w:t>
      </w:r>
      <w:r w:rsidR="00187E51">
        <w:t xml:space="preserve">term </w:t>
      </w:r>
      <w:r w:rsidR="00D477BF">
        <w:t>wa</w:t>
      </w:r>
      <w:r>
        <w:t xml:space="preserve">s 4.5% </w:t>
      </w:r>
      <w:r w:rsidR="00187E51">
        <w:t>of</w:t>
      </w:r>
      <w:r>
        <w:t xml:space="preserve"> students and 0.6% </w:t>
      </w:r>
      <w:r w:rsidR="00187E51">
        <w:t xml:space="preserve">of </w:t>
      </w:r>
      <w:r>
        <w:t xml:space="preserve">staff. </w:t>
      </w:r>
      <w:r>
        <w:rPr>
          <w:bCs/>
        </w:rPr>
        <w:t>The student numbers are similar</w:t>
      </w:r>
      <w:r w:rsidR="0092427E">
        <w:rPr>
          <w:bCs/>
        </w:rPr>
        <w:t xml:space="preserve"> to,</w:t>
      </w:r>
      <w:r>
        <w:rPr>
          <w:bCs/>
        </w:rPr>
        <w:t xml:space="preserve"> and staff numbers considerably less</w:t>
      </w:r>
      <w:r w:rsidR="0092427E">
        <w:rPr>
          <w:bCs/>
        </w:rPr>
        <w:t xml:space="preserve"> than, the age-specific </w:t>
      </w:r>
      <w:r w:rsidR="000F0C2C">
        <w:rPr>
          <w:bCs/>
        </w:rPr>
        <w:t>COVID</w:t>
      </w:r>
      <w:r w:rsidR="00DD1C93">
        <w:rPr>
          <w:bCs/>
        </w:rPr>
        <w:t>-19</w:t>
      </w:r>
      <w:r w:rsidR="0092427E">
        <w:rPr>
          <w:bCs/>
        </w:rPr>
        <w:t xml:space="preserve"> </w:t>
      </w:r>
      <w:r w:rsidR="0092427E" w:rsidRPr="00396603">
        <w:rPr>
          <w:bCs/>
        </w:rPr>
        <w:t xml:space="preserve">incidence in </w:t>
      </w:r>
      <w:r w:rsidR="0092427E">
        <w:rPr>
          <w:bCs/>
        </w:rPr>
        <w:t>the local</w:t>
      </w:r>
      <w:r w:rsidR="0092427E" w:rsidRPr="00396603">
        <w:rPr>
          <w:bCs/>
        </w:rPr>
        <w:t xml:space="preserve"> population</w:t>
      </w:r>
      <w:r>
        <w:rPr>
          <w:bCs/>
        </w:rPr>
        <w:t xml:space="preserve"> (proportion of Oxford population testing positive from 29 August to 11 December: age 15</w:t>
      </w:r>
      <w:r w:rsidR="0075104B">
        <w:rPr>
          <w:bCs/>
        </w:rPr>
        <w:t>–</w:t>
      </w:r>
      <w:r>
        <w:rPr>
          <w:bCs/>
        </w:rPr>
        <w:t>24, 4.2%; age 25</w:t>
      </w:r>
      <w:r w:rsidR="0075104B">
        <w:rPr>
          <w:bCs/>
        </w:rPr>
        <w:t>–</w:t>
      </w:r>
      <w:r>
        <w:rPr>
          <w:bCs/>
        </w:rPr>
        <w:t>64, 1.6%).</w:t>
      </w:r>
    </w:p>
    <w:p w14:paraId="673BC1E5" w14:textId="77777777" w:rsidR="0094183B" w:rsidRDefault="0094183B" w:rsidP="00FB0EF2">
      <w:pPr>
        <w:ind w:right="-330"/>
      </w:pPr>
    </w:p>
    <w:p w14:paraId="51E8126D" w14:textId="21FD8E2B" w:rsidR="00DC0840" w:rsidRPr="00C2498A" w:rsidRDefault="00DC0840" w:rsidP="00F964C1">
      <w:pPr>
        <w:pStyle w:val="Heading2"/>
      </w:pPr>
      <w:r w:rsidRPr="00C2498A">
        <w:t xml:space="preserve">Christmas Lateral Flow </w:t>
      </w:r>
      <w:r w:rsidR="00E350F6">
        <w:t>t</w:t>
      </w:r>
      <w:r w:rsidRPr="00C2498A">
        <w:t>esting</w:t>
      </w:r>
    </w:p>
    <w:p w14:paraId="4F17CD38" w14:textId="738D9AAE" w:rsidR="00DC0840" w:rsidRDefault="00E56A7E" w:rsidP="009D7F00">
      <w:pPr>
        <w:spacing w:after="0"/>
        <w:ind w:right="-329"/>
      </w:pPr>
      <w:r>
        <w:t xml:space="preserve">The University participated in the </w:t>
      </w:r>
      <w:r w:rsidR="0075104B">
        <w:t>g</w:t>
      </w:r>
      <w:r>
        <w:t>overnment Christmas Travel programme</w:t>
      </w:r>
      <w:r w:rsidR="0075104B">
        <w:t>,</w:t>
      </w:r>
      <w:r>
        <w:t xml:space="preserve"> in which asymptomatic students were offered LFDs (later flow devices) to self-test before travelling home; the few reporting positive LFD tests were offered a confirmatory PCR test. </w:t>
      </w:r>
      <w:r w:rsidR="007B4114">
        <w:t xml:space="preserve">By </w:t>
      </w:r>
      <w:r w:rsidR="000F0C2C">
        <w:t xml:space="preserve">22 </w:t>
      </w:r>
      <w:r w:rsidR="007B4114">
        <w:t xml:space="preserve">December, </w:t>
      </w:r>
      <w:r w:rsidR="00DC0840">
        <w:t>4</w:t>
      </w:r>
      <w:r w:rsidR="0075104B">
        <w:t>,</w:t>
      </w:r>
      <w:r w:rsidR="007B4114">
        <w:t>678</w:t>
      </w:r>
      <w:r w:rsidR="00DC0840">
        <w:t xml:space="preserve"> students (7</w:t>
      </w:r>
      <w:r w:rsidR="00DC6C6B">
        <w:t>4</w:t>
      </w:r>
      <w:r w:rsidR="00DC0840">
        <w:t>% undergraduates, 2</w:t>
      </w:r>
      <w:r w:rsidR="00DC6C6B">
        <w:t>6</w:t>
      </w:r>
      <w:r w:rsidR="00DC0840">
        <w:t>% postgraduates) from 4</w:t>
      </w:r>
      <w:r w:rsidR="00DC6C6B">
        <w:t>2</w:t>
      </w:r>
      <w:r w:rsidR="00DC0840">
        <w:t xml:space="preserve"> Colleges had reported the results of Christmas Travel </w:t>
      </w:r>
      <w:r w:rsidR="00DC6C6B">
        <w:t>t</w:t>
      </w:r>
      <w:r w:rsidR="00DC0840">
        <w:t xml:space="preserve">ests. No significant reservoir of residual </w:t>
      </w:r>
      <w:r w:rsidR="000F0C2C">
        <w:t>COVID</w:t>
      </w:r>
      <w:r w:rsidR="0075104B">
        <w:t>-19</w:t>
      </w:r>
      <w:r w:rsidR="00DC0840">
        <w:t xml:space="preserve"> infection was detected. Overall, 2</w:t>
      </w:r>
      <w:r w:rsidR="00DC6C6B">
        <w:t>8</w:t>
      </w:r>
      <w:r w:rsidR="00DC0840">
        <w:t xml:space="preserve"> students (0.6%) </w:t>
      </w:r>
      <w:r w:rsidR="00DC0840">
        <w:lastRenderedPageBreak/>
        <w:t xml:space="preserve">reported positive results. </w:t>
      </w:r>
      <w:r>
        <w:t>T</w:t>
      </w:r>
      <w:r w:rsidR="00DC0840">
        <w:t>he lateral flow testing pick</w:t>
      </w:r>
      <w:r>
        <w:t>ed</w:t>
      </w:r>
      <w:r w:rsidR="00DC0840">
        <w:t xml:space="preserve"> up two small emerging outbreaks</w:t>
      </w:r>
      <w:r>
        <w:t xml:space="preserve">, which, </w:t>
      </w:r>
      <w:r w:rsidR="00DC0840">
        <w:t>on investigation</w:t>
      </w:r>
      <w:r w:rsidR="00F62FF8">
        <w:t>,</w:t>
      </w:r>
      <w:r w:rsidR="00DC0840">
        <w:t xml:space="preserve"> were attributed to pre-Christmas social events involving household mixing. </w:t>
      </w:r>
      <w:r w:rsidR="00956F6C">
        <w:t xml:space="preserve">A </w:t>
      </w:r>
      <w:r w:rsidR="00DC0840">
        <w:t xml:space="preserve">number of students reported </w:t>
      </w:r>
      <w:r w:rsidR="000F0C2C">
        <w:t>COVID</w:t>
      </w:r>
      <w:r w:rsidR="0075104B">
        <w:t>-19</w:t>
      </w:r>
      <w:r w:rsidR="00DC0840">
        <w:t xml:space="preserve"> symptoms </w:t>
      </w:r>
      <w:r w:rsidR="00F62FF8">
        <w:t xml:space="preserve">at PCR testing, </w:t>
      </w:r>
      <w:r w:rsidR="00DC0840">
        <w:t xml:space="preserve">so </w:t>
      </w:r>
      <w:r w:rsidR="00F62FF8">
        <w:t xml:space="preserve">it is likely that </w:t>
      </w:r>
      <w:r w:rsidR="00455BAC">
        <w:t xml:space="preserve">symptomatic testing would have picked up </w:t>
      </w:r>
      <w:r w:rsidR="00DC0840">
        <w:t xml:space="preserve">both outbreaks. </w:t>
      </w:r>
    </w:p>
    <w:p w14:paraId="5F28AD37" w14:textId="77777777" w:rsidR="00F23F07" w:rsidRDefault="00F23F07" w:rsidP="009D7F00">
      <w:pPr>
        <w:ind w:right="-329"/>
      </w:pPr>
    </w:p>
    <w:p w14:paraId="5FE1DE47" w14:textId="77777777" w:rsidR="00B00556" w:rsidRDefault="00B00556" w:rsidP="00F964C1">
      <w:pPr>
        <w:pStyle w:val="Heading2"/>
      </w:pPr>
      <w:r>
        <w:t xml:space="preserve">Protection of </w:t>
      </w:r>
      <w:r w:rsidR="00C2498A">
        <w:t>the Oxford</w:t>
      </w:r>
      <w:r>
        <w:t xml:space="preserve"> population</w:t>
      </w:r>
    </w:p>
    <w:p w14:paraId="77192221" w14:textId="1A73F143" w:rsidR="00BB3895" w:rsidRDefault="00B00556" w:rsidP="00FB0EF2">
      <w:pPr>
        <w:ind w:right="-330"/>
        <w:rPr>
          <w:noProof/>
        </w:rPr>
      </w:pPr>
      <w:r>
        <w:rPr>
          <w:noProof/>
        </w:rPr>
        <w:t xml:space="preserve">A key objective of the EAS service was to protect the </w:t>
      </w:r>
      <w:r w:rsidR="00343215">
        <w:rPr>
          <w:noProof/>
        </w:rPr>
        <w:t xml:space="preserve">whole </w:t>
      </w:r>
      <w:r>
        <w:rPr>
          <w:noProof/>
        </w:rPr>
        <w:t>po</w:t>
      </w:r>
      <w:r w:rsidR="00807933">
        <w:rPr>
          <w:noProof/>
        </w:rPr>
        <w:t>p</w:t>
      </w:r>
      <w:r>
        <w:rPr>
          <w:noProof/>
        </w:rPr>
        <w:t>ulation of Oxford</w:t>
      </w:r>
      <w:r w:rsidR="00343215">
        <w:rPr>
          <w:noProof/>
        </w:rPr>
        <w:t>, not just the University</w:t>
      </w:r>
      <w:r>
        <w:rPr>
          <w:noProof/>
        </w:rPr>
        <w:t xml:space="preserve">. To </w:t>
      </w:r>
      <w:r w:rsidR="00A43CF5">
        <w:rPr>
          <w:noProof/>
        </w:rPr>
        <w:t xml:space="preserve">this end, </w:t>
      </w:r>
      <w:r w:rsidR="00B45354">
        <w:rPr>
          <w:noProof/>
        </w:rPr>
        <w:t xml:space="preserve">in </w:t>
      </w:r>
      <w:r w:rsidR="00A43CF5">
        <w:rPr>
          <w:noProof/>
        </w:rPr>
        <w:t>all instances where we supected there was a risk to the general population (e.g. a student reported attending a public venue)</w:t>
      </w:r>
      <w:r w:rsidR="00C2058E">
        <w:rPr>
          <w:noProof/>
        </w:rPr>
        <w:t>,</w:t>
      </w:r>
      <w:r w:rsidR="00A43CF5">
        <w:rPr>
          <w:noProof/>
        </w:rPr>
        <w:t xml:space="preserve"> we informed PHE/Oxfordshire PH as appropriate. To </w:t>
      </w:r>
      <w:r>
        <w:rPr>
          <w:noProof/>
        </w:rPr>
        <w:t xml:space="preserve">our knowledge, no outbreaks of infection in the </w:t>
      </w:r>
      <w:r w:rsidR="0075104B">
        <w:rPr>
          <w:noProof/>
        </w:rPr>
        <w:t>c</w:t>
      </w:r>
      <w:r>
        <w:rPr>
          <w:noProof/>
        </w:rPr>
        <w:t>ity investigated by Oxfordshire Public Health or Public Health England have been attributed to a University source.</w:t>
      </w:r>
    </w:p>
    <w:p w14:paraId="1A3F521D" w14:textId="6CFB481E" w:rsidR="00A43CF5" w:rsidRPr="0027279F" w:rsidRDefault="00A43CF5" w:rsidP="00FB0EF2">
      <w:pPr>
        <w:ind w:right="-330"/>
      </w:pPr>
      <w:r w:rsidRPr="0027279F">
        <w:t xml:space="preserve">EAS data were not incorporated into the </w:t>
      </w:r>
      <w:r w:rsidR="00033AE2" w:rsidRPr="0027279F">
        <w:t>government</w:t>
      </w:r>
      <w:r w:rsidRPr="0027279F">
        <w:t xml:space="preserve"> </w:t>
      </w:r>
      <w:r w:rsidR="000F0C2C">
        <w:t>COVID</w:t>
      </w:r>
      <w:r w:rsidRPr="0027279F">
        <w:t xml:space="preserve">-19 data until </w:t>
      </w:r>
      <w:r w:rsidR="00C2058E">
        <w:t xml:space="preserve">7 </w:t>
      </w:r>
      <w:r w:rsidRPr="0027279F">
        <w:t xml:space="preserve">November. Figure </w:t>
      </w:r>
      <w:r w:rsidR="007B775F" w:rsidRPr="0027279F">
        <w:t>7</w:t>
      </w:r>
      <w:r w:rsidRPr="0027279F">
        <w:t xml:space="preserve"> below shows the number of cases in Oxford </w:t>
      </w:r>
      <w:r w:rsidR="0075104B">
        <w:t>c</w:t>
      </w:r>
      <w:r w:rsidRPr="0027279F">
        <w:t>ity prior to this dat</w:t>
      </w:r>
      <w:r w:rsidR="0027279F">
        <w:t>e</w:t>
      </w:r>
      <w:r w:rsidR="0075104B">
        <w:t>,</w:t>
      </w:r>
      <w:r w:rsidRPr="0027279F">
        <w:t xml:space="preserve"> alongside the cases detected by EAS. The data do not suggest that </w:t>
      </w:r>
      <w:r w:rsidR="0027279F">
        <w:t xml:space="preserve">rising </w:t>
      </w:r>
      <w:r w:rsidRPr="0027279F">
        <w:t xml:space="preserve">Oxford University cases </w:t>
      </w:r>
      <w:r w:rsidR="0027279F">
        <w:t xml:space="preserve">in early October </w:t>
      </w:r>
      <w:r w:rsidRPr="0027279F">
        <w:t>impact</w:t>
      </w:r>
      <w:r w:rsidR="0027279F">
        <w:t>ed</w:t>
      </w:r>
      <w:r w:rsidRPr="0027279F">
        <w:t xml:space="preserve"> on </w:t>
      </w:r>
      <w:r w:rsidR="00033AE2" w:rsidRPr="0027279F">
        <w:t>case number</w:t>
      </w:r>
      <w:r w:rsidR="00C2058E">
        <w:t>s</w:t>
      </w:r>
      <w:r w:rsidR="00033AE2" w:rsidRPr="0027279F">
        <w:t xml:space="preserve"> in </w:t>
      </w:r>
      <w:r w:rsidRPr="0027279F">
        <w:t>the general population</w:t>
      </w:r>
      <w:r w:rsidR="001C1A41" w:rsidRPr="0027279F">
        <w:t xml:space="preserve"> unless there was a </w:t>
      </w:r>
      <w:r w:rsidR="0027279F">
        <w:t>significant</w:t>
      </w:r>
      <w:r w:rsidR="001C1A41" w:rsidRPr="0027279F">
        <w:t xml:space="preserve"> lag</w:t>
      </w:r>
      <w:r w:rsidR="0027279F">
        <w:t>-</w:t>
      </w:r>
      <w:r w:rsidR="001C1A41" w:rsidRPr="0027279F">
        <w:t>time</w:t>
      </w:r>
      <w:r w:rsidR="00033AE2" w:rsidRPr="0027279F">
        <w:t xml:space="preserve"> in </w:t>
      </w:r>
      <w:r w:rsidR="0027279F">
        <w:t>effect</w:t>
      </w:r>
      <w:r w:rsidR="001C1A41" w:rsidRPr="0027279F">
        <w:t xml:space="preserve">, which seems </w:t>
      </w:r>
      <w:r w:rsidR="00033AE2" w:rsidRPr="0027279F">
        <w:t>unlikely.</w:t>
      </w:r>
      <w:r w:rsidR="0027279F">
        <w:t xml:space="preserve"> By the time cases in Oxford began to rise in November, University cases were already decreasing.</w:t>
      </w:r>
    </w:p>
    <w:p w14:paraId="0216F974" w14:textId="77777777" w:rsidR="00166E4A" w:rsidRPr="00A43CF5" w:rsidRDefault="00166E4A" w:rsidP="00F964C1">
      <w:pPr>
        <w:spacing w:after="0"/>
        <w:ind w:right="-330"/>
        <w:rPr>
          <w:b/>
          <w:sz w:val="20"/>
          <w:szCs w:val="20"/>
        </w:rPr>
      </w:pPr>
    </w:p>
    <w:p w14:paraId="1A97C6B6" w14:textId="77777777" w:rsidR="00F964C1" w:rsidRDefault="001C1A41" w:rsidP="00F964C1">
      <w:pPr>
        <w:keepNext/>
        <w:ind w:right="-330"/>
        <w:jc w:val="center"/>
      </w:pPr>
      <w:r>
        <w:rPr>
          <w:noProof/>
          <w:sz w:val="24"/>
          <w:szCs w:val="24"/>
          <w:lang w:val="en-US"/>
        </w:rPr>
        <w:drawing>
          <wp:inline distT="0" distB="0" distL="0" distR="0" wp14:anchorId="1327E614" wp14:editId="2B598715">
            <wp:extent cx="4440182" cy="1790700"/>
            <wp:effectExtent l="0" t="0" r="0" b="0"/>
            <wp:docPr id="5" name="Picture 5" descr="Graph showing the COVID-19 cases reported in Oxford city* and the University (EA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ing the COVID-19 cases reported in Oxford city* and the University (EAS d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0211" cy="1822975"/>
                    </a:xfrm>
                    <a:prstGeom prst="rect">
                      <a:avLst/>
                    </a:prstGeom>
                    <a:noFill/>
                  </pic:spPr>
                </pic:pic>
              </a:graphicData>
            </a:graphic>
          </wp:inline>
        </w:drawing>
      </w:r>
    </w:p>
    <w:p w14:paraId="466C945B" w14:textId="47D70846" w:rsidR="001C1A41" w:rsidRDefault="00F964C1" w:rsidP="00F964C1">
      <w:pPr>
        <w:pStyle w:val="Caption"/>
        <w:jc w:val="center"/>
        <w:rPr>
          <w:sz w:val="24"/>
          <w:szCs w:val="24"/>
        </w:rPr>
      </w:pPr>
      <w:r>
        <w:t xml:space="preserve">Figure </w:t>
      </w:r>
      <w:fldSimple w:instr=" SEQ Figure \* ARABIC ">
        <w:r w:rsidR="0091445C">
          <w:rPr>
            <w:noProof/>
          </w:rPr>
          <w:t>4</w:t>
        </w:r>
      </w:fldSimple>
      <w:r>
        <w:t xml:space="preserve">: </w:t>
      </w:r>
      <w:r w:rsidRPr="009F292B">
        <w:t>COVID-19 cases reported in Oxford city* and the University (EAS data)</w:t>
      </w:r>
    </w:p>
    <w:p w14:paraId="4E845042" w14:textId="77777777" w:rsidR="001C1A41" w:rsidRPr="00033AE2" w:rsidRDefault="00033AE2" w:rsidP="00FB0EF2">
      <w:pPr>
        <w:ind w:right="-330"/>
        <w:rPr>
          <w:sz w:val="16"/>
          <w:szCs w:val="16"/>
        </w:rPr>
      </w:pPr>
      <w:r>
        <w:rPr>
          <w:sz w:val="16"/>
          <w:szCs w:val="16"/>
        </w:rPr>
        <w:t xml:space="preserve">                                    </w:t>
      </w:r>
      <w:r w:rsidRPr="00033AE2">
        <w:rPr>
          <w:sz w:val="16"/>
          <w:szCs w:val="16"/>
        </w:rPr>
        <w:t>*</w:t>
      </w:r>
      <w:r>
        <w:rPr>
          <w:sz w:val="16"/>
          <w:szCs w:val="16"/>
        </w:rPr>
        <w:t xml:space="preserve"> Oxford d</w:t>
      </w:r>
      <w:r w:rsidRPr="00033AE2">
        <w:rPr>
          <w:sz w:val="16"/>
          <w:szCs w:val="16"/>
        </w:rPr>
        <w:t>ata from - https://coronavirus.data.gov.uk/details/cases?areaType=ltla&amp;areaName=Oxford</w:t>
      </w:r>
    </w:p>
    <w:p w14:paraId="4507E5B8" w14:textId="77777777" w:rsidR="00033AE2" w:rsidRDefault="00033AE2" w:rsidP="00FB0EF2">
      <w:pPr>
        <w:ind w:right="-330"/>
        <w:rPr>
          <w:b/>
          <w:sz w:val="24"/>
          <w:szCs w:val="24"/>
        </w:rPr>
      </w:pPr>
    </w:p>
    <w:p w14:paraId="56200905" w14:textId="18496137" w:rsidR="00033AE2" w:rsidRDefault="0067074F" w:rsidP="00F964C1">
      <w:pPr>
        <w:pStyle w:val="Heading2"/>
      </w:pPr>
      <w:r>
        <w:t>Lessons from the e</w:t>
      </w:r>
      <w:r w:rsidR="001C1A41" w:rsidRPr="00033AE2">
        <w:t>nd of term</w:t>
      </w:r>
      <w:r w:rsidR="00033AE2" w:rsidRPr="00033AE2">
        <w:t xml:space="preserve"> </w:t>
      </w:r>
    </w:p>
    <w:p w14:paraId="2606E660" w14:textId="49167233" w:rsidR="00877F4D" w:rsidRDefault="00033AE2" w:rsidP="00FB0EF2">
      <w:pPr>
        <w:spacing w:after="0"/>
        <w:ind w:right="-330"/>
        <w:jc w:val="both"/>
      </w:pPr>
      <w:r w:rsidRPr="00033AE2">
        <w:t>When I began drafting this report</w:t>
      </w:r>
      <w:r w:rsidR="0067074F">
        <w:t xml:space="preserve"> at the end of Michaelmas term</w:t>
      </w:r>
      <w:r w:rsidRPr="00033AE2">
        <w:t xml:space="preserve">, most undergraduates had just left and EAS was experiencing a very low volume of demand, with </w:t>
      </w:r>
      <w:r w:rsidR="0075104B">
        <w:t xml:space="preserve">only a </w:t>
      </w:r>
      <w:r w:rsidRPr="00033AE2">
        <w:t xml:space="preserve">few (sometimes no) positive tests each </w:t>
      </w:r>
      <w:r w:rsidR="00FF09E2">
        <w:t>day</w:t>
      </w:r>
      <w:r w:rsidRPr="00033AE2">
        <w:t xml:space="preserve">. The situation </w:t>
      </w:r>
      <w:r w:rsidR="008A5458">
        <w:t xml:space="preserve">then began to </w:t>
      </w:r>
      <w:r w:rsidRPr="00033AE2">
        <w:t>chang</w:t>
      </w:r>
      <w:r w:rsidR="008A5458">
        <w:t>e</w:t>
      </w:r>
      <w:r w:rsidRPr="00033AE2">
        <w:t xml:space="preserve">. </w:t>
      </w:r>
      <w:r w:rsidR="00877F4D">
        <w:t xml:space="preserve">Figure </w:t>
      </w:r>
      <w:r w:rsidR="007B775F">
        <w:t>8</w:t>
      </w:r>
      <w:r w:rsidR="00877F4D">
        <w:t xml:space="preserve"> below sho</w:t>
      </w:r>
      <w:r w:rsidR="00E54CED">
        <w:t>w</w:t>
      </w:r>
      <w:r w:rsidR="00877F4D">
        <w:t xml:space="preserve">s the number of cases detected each day since the end of the student travel window, </w:t>
      </w:r>
      <w:r w:rsidR="0075104B">
        <w:t>with</w:t>
      </w:r>
      <w:r w:rsidR="00E54CED">
        <w:t xml:space="preserve"> </w:t>
      </w:r>
      <w:r w:rsidR="00877F4D">
        <w:t xml:space="preserve">EAS cases and NHS Pillar 1 and 2 cases </w:t>
      </w:r>
      <w:r w:rsidR="00E20C0A">
        <w:t>self-reported to EAS</w:t>
      </w:r>
      <w:r w:rsidR="0075104B">
        <w:t xml:space="preserve"> indicated in different colours</w:t>
      </w:r>
      <w:r w:rsidR="00E20C0A">
        <w:t xml:space="preserve">. </w:t>
      </w:r>
    </w:p>
    <w:p w14:paraId="71C0B761" w14:textId="77777777" w:rsidR="00E20C0A" w:rsidRDefault="00E20C0A" w:rsidP="00FB0EF2">
      <w:pPr>
        <w:ind w:right="-330"/>
        <w:jc w:val="both"/>
        <w:rPr>
          <w:b/>
          <w:sz w:val="20"/>
          <w:szCs w:val="20"/>
        </w:rPr>
      </w:pPr>
    </w:p>
    <w:p w14:paraId="69C17105" w14:textId="77777777" w:rsidR="0091445C" w:rsidRDefault="00DF5538" w:rsidP="0091445C">
      <w:pPr>
        <w:keepNext/>
        <w:ind w:right="-330"/>
        <w:jc w:val="center"/>
      </w:pPr>
      <w:r>
        <w:rPr>
          <w:b/>
          <w:noProof/>
          <w:sz w:val="20"/>
          <w:szCs w:val="20"/>
          <w:lang w:val="en-US"/>
        </w:rPr>
        <w:lastRenderedPageBreak/>
        <w:drawing>
          <wp:inline distT="0" distB="0" distL="0" distR="0" wp14:anchorId="5EFCF897" wp14:editId="00F0FEBE">
            <wp:extent cx="4584475" cy="2247900"/>
            <wp:effectExtent l="0" t="0" r="6985" b="0"/>
            <wp:docPr id="13" name="Picture 13" descr="Graph showing the Oxford SARS-CoV-2 positive cases detected by RT-PCR since end of student travel window (10 - 21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 showing the Oxford SARS-CoV-2 positive cases detected by RT-PCR since end of student travel window (10 - 21 December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4476" cy="2262610"/>
                    </a:xfrm>
                    <a:prstGeom prst="rect">
                      <a:avLst/>
                    </a:prstGeom>
                    <a:noFill/>
                  </pic:spPr>
                </pic:pic>
              </a:graphicData>
            </a:graphic>
          </wp:inline>
        </w:drawing>
      </w:r>
    </w:p>
    <w:p w14:paraId="2A6F19C5" w14:textId="484C45FE" w:rsidR="00421EA3" w:rsidRDefault="0091445C" w:rsidP="0091445C">
      <w:pPr>
        <w:pStyle w:val="Caption"/>
        <w:jc w:val="center"/>
        <w:rPr>
          <w:b/>
          <w:sz w:val="20"/>
          <w:szCs w:val="20"/>
        </w:rPr>
      </w:pPr>
      <w:r>
        <w:t xml:space="preserve">Figure </w:t>
      </w:r>
      <w:fldSimple w:instr=" SEQ Figure \* ARABIC ">
        <w:r>
          <w:rPr>
            <w:noProof/>
          </w:rPr>
          <w:t>5</w:t>
        </w:r>
      </w:fldSimple>
      <w:r>
        <w:t xml:space="preserve">: </w:t>
      </w:r>
      <w:r w:rsidRPr="00694059">
        <w:t>SARS-CoV-2 positive cases detected by RT-PCR since end of student travel window</w:t>
      </w:r>
    </w:p>
    <w:p w14:paraId="033C54DD" w14:textId="7D27E4B1" w:rsidR="00FF09E2" w:rsidRDefault="003514C3" w:rsidP="00FB0EF2">
      <w:pPr>
        <w:ind w:right="-330"/>
        <w:jc w:val="both"/>
      </w:pPr>
      <w:r>
        <w:t xml:space="preserve">Of the </w:t>
      </w:r>
      <w:r w:rsidR="00F85016">
        <w:t>72</w:t>
      </w:r>
      <w:r>
        <w:t xml:space="preserve"> cases shown here, </w:t>
      </w:r>
      <w:r w:rsidR="00F85016">
        <w:t>31</w:t>
      </w:r>
      <w:r>
        <w:t xml:space="preserve"> were staff, 3</w:t>
      </w:r>
      <w:r w:rsidR="00F85016">
        <w:t>1</w:t>
      </w:r>
      <w:r>
        <w:t xml:space="preserve"> postgraduates and 1</w:t>
      </w:r>
      <w:r w:rsidR="00F85016">
        <w:t>0</w:t>
      </w:r>
      <w:r>
        <w:t xml:space="preserve"> undergraduate</w:t>
      </w:r>
      <w:r w:rsidR="00F85016">
        <w:t>s</w:t>
      </w:r>
      <w:r>
        <w:t xml:space="preserve">. </w:t>
      </w:r>
      <w:r w:rsidR="009925FA">
        <w:t xml:space="preserve">This upturn </w:t>
      </w:r>
      <w:r>
        <w:t xml:space="preserve">almost certainly reflects the resurgence of the virus in the general population rather than spread within the University, but </w:t>
      </w:r>
      <w:r w:rsidR="00114422">
        <w:t>it</w:t>
      </w:r>
      <w:r>
        <w:t xml:space="preserve"> </w:t>
      </w:r>
      <w:r w:rsidR="00114422">
        <w:t>emphasises the need for continued vigilance</w:t>
      </w:r>
      <w:r>
        <w:t xml:space="preserve"> </w:t>
      </w:r>
      <w:r w:rsidR="00114422">
        <w:t>when</w:t>
      </w:r>
      <w:r w:rsidR="00DE5AB8">
        <w:t xml:space="preserve"> </w:t>
      </w:r>
      <w:r>
        <w:t>student</w:t>
      </w:r>
      <w:r w:rsidR="00114422">
        <w:t>s</w:t>
      </w:r>
      <w:r>
        <w:t xml:space="preserve"> and staff return </w:t>
      </w:r>
      <w:r w:rsidR="00D477BF">
        <w:t>for Hilary term</w:t>
      </w:r>
      <w:r>
        <w:t>.</w:t>
      </w:r>
    </w:p>
    <w:p w14:paraId="484C8EAB" w14:textId="785B89B7" w:rsidR="00B727EE" w:rsidRPr="009221B0" w:rsidRDefault="00B727EE" w:rsidP="00FB0EF2">
      <w:pPr>
        <w:spacing w:after="0"/>
        <w:ind w:right="-330"/>
        <w:jc w:val="both"/>
      </w:pPr>
    </w:p>
    <w:sectPr w:rsidR="00B727EE" w:rsidRPr="009221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6FBE" w14:textId="77777777" w:rsidR="000B5A02" w:rsidRDefault="000B5A02" w:rsidP="00985DA4">
      <w:pPr>
        <w:spacing w:after="0" w:line="240" w:lineRule="auto"/>
      </w:pPr>
      <w:r>
        <w:separator/>
      </w:r>
    </w:p>
  </w:endnote>
  <w:endnote w:type="continuationSeparator" w:id="0">
    <w:p w14:paraId="76F50CB5" w14:textId="77777777" w:rsidR="000B5A02" w:rsidRDefault="000B5A02" w:rsidP="0098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B704" w14:textId="77777777" w:rsidR="000B5A02" w:rsidRDefault="000B5A02" w:rsidP="00985DA4">
      <w:pPr>
        <w:spacing w:after="0" w:line="240" w:lineRule="auto"/>
      </w:pPr>
      <w:r>
        <w:separator/>
      </w:r>
    </w:p>
  </w:footnote>
  <w:footnote w:type="continuationSeparator" w:id="0">
    <w:p w14:paraId="4DB6B7BA" w14:textId="77777777" w:rsidR="000B5A02" w:rsidRDefault="000B5A02" w:rsidP="0098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3FB"/>
    <w:multiLevelType w:val="hybridMultilevel"/>
    <w:tmpl w:val="FA289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235EC"/>
    <w:multiLevelType w:val="hybridMultilevel"/>
    <w:tmpl w:val="B408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024AA"/>
    <w:multiLevelType w:val="hybridMultilevel"/>
    <w:tmpl w:val="87B236C0"/>
    <w:lvl w:ilvl="0" w:tplc="D2C67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135B7"/>
    <w:multiLevelType w:val="hybridMultilevel"/>
    <w:tmpl w:val="80AEF41A"/>
    <w:lvl w:ilvl="0" w:tplc="D2C67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B5C79"/>
    <w:multiLevelType w:val="hybridMultilevel"/>
    <w:tmpl w:val="C86ED77A"/>
    <w:lvl w:ilvl="0" w:tplc="D2C67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630F1"/>
    <w:multiLevelType w:val="hybridMultilevel"/>
    <w:tmpl w:val="8E8ACA9E"/>
    <w:lvl w:ilvl="0" w:tplc="B284E31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F01794"/>
    <w:multiLevelType w:val="hybridMultilevel"/>
    <w:tmpl w:val="6268B4FE"/>
    <w:lvl w:ilvl="0" w:tplc="1F625CA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EA43C7"/>
    <w:multiLevelType w:val="hybridMultilevel"/>
    <w:tmpl w:val="D2F6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B1D82"/>
    <w:multiLevelType w:val="hybridMultilevel"/>
    <w:tmpl w:val="4A620518"/>
    <w:lvl w:ilvl="0" w:tplc="9F2491C8">
      <w:start w:val="6"/>
      <w:numFmt w:val="bullet"/>
      <w:lvlText w:val=""/>
      <w:lvlJc w:val="left"/>
      <w:pPr>
        <w:ind w:left="1660" w:hanging="360"/>
      </w:pPr>
      <w:rPr>
        <w:rFonts w:ascii="Symbol" w:eastAsiaTheme="minorHAnsi" w:hAnsi="Symbol" w:cstheme="minorBidi"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9" w15:restartNumberingAfterBreak="0">
    <w:nsid w:val="71E832FD"/>
    <w:multiLevelType w:val="hybridMultilevel"/>
    <w:tmpl w:val="22C89FFA"/>
    <w:lvl w:ilvl="0" w:tplc="9BC2D97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85"/>
    <w:rsid w:val="00012421"/>
    <w:rsid w:val="00020FC3"/>
    <w:rsid w:val="00024CCA"/>
    <w:rsid w:val="00033AE2"/>
    <w:rsid w:val="00036EB5"/>
    <w:rsid w:val="00073F66"/>
    <w:rsid w:val="000760BD"/>
    <w:rsid w:val="00076636"/>
    <w:rsid w:val="00096E29"/>
    <w:rsid w:val="000A089A"/>
    <w:rsid w:val="000A0B19"/>
    <w:rsid w:val="000A45D6"/>
    <w:rsid w:val="000B5A02"/>
    <w:rsid w:val="000C10BB"/>
    <w:rsid w:val="000F0C2C"/>
    <w:rsid w:val="001052A1"/>
    <w:rsid w:val="00112A2B"/>
    <w:rsid w:val="00114422"/>
    <w:rsid w:val="00121271"/>
    <w:rsid w:val="00122083"/>
    <w:rsid w:val="00127A8E"/>
    <w:rsid w:val="00134BCC"/>
    <w:rsid w:val="001366EC"/>
    <w:rsid w:val="001459D4"/>
    <w:rsid w:val="00160E86"/>
    <w:rsid w:val="00166E4A"/>
    <w:rsid w:val="001859F7"/>
    <w:rsid w:val="00187E51"/>
    <w:rsid w:val="00194392"/>
    <w:rsid w:val="001A3735"/>
    <w:rsid w:val="001C1A41"/>
    <w:rsid w:val="001D2D57"/>
    <w:rsid w:val="001D40AC"/>
    <w:rsid w:val="001D5A8D"/>
    <w:rsid w:val="001E0A62"/>
    <w:rsid w:val="001F292E"/>
    <w:rsid w:val="00216808"/>
    <w:rsid w:val="00220B45"/>
    <w:rsid w:val="00230C30"/>
    <w:rsid w:val="00230DAA"/>
    <w:rsid w:val="0023604A"/>
    <w:rsid w:val="00237643"/>
    <w:rsid w:val="00240C04"/>
    <w:rsid w:val="002579C5"/>
    <w:rsid w:val="00260050"/>
    <w:rsid w:val="0027279F"/>
    <w:rsid w:val="002868FE"/>
    <w:rsid w:val="00290AE5"/>
    <w:rsid w:val="00295DCF"/>
    <w:rsid w:val="002962FA"/>
    <w:rsid w:val="002A35BC"/>
    <w:rsid w:val="002C4866"/>
    <w:rsid w:val="002D5A0E"/>
    <w:rsid w:val="002E5E91"/>
    <w:rsid w:val="00343215"/>
    <w:rsid w:val="003478F0"/>
    <w:rsid w:val="003514C3"/>
    <w:rsid w:val="00360BC2"/>
    <w:rsid w:val="003700C3"/>
    <w:rsid w:val="00375109"/>
    <w:rsid w:val="003810B5"/>
    <w:rsid w:val="00382C7F"/>
    <w:rsid w:val="00394CBA"/>
    <w:rsid w:val="00396603"/>
    <w:rsid w:val="003A0F4C"/>
    <w:rsid w:val="003D5F0A"/>
    <w:rsid w:val="003F03D9"/>
    <w:rsid w:val="003F0906"/>
    <w:rsid w:val="0041732B"/>
    <w:rsid w:val="00417D22"/>
    <w:rsid w:val="00421EA3"/>
    <w:rsid w:val="00444D75"/>
    <w:rsid w:val="00451915"/>
    <w:rsid w:val="00455BAC"/>
    <w:rsid w:val="004628C8"/>
    <w:rsid w:val="004636B3"/>
    <w:rsid w:val="00476C71"/>
    <w:rsid w:val="004842F8"/>
    <w:rsid w:val="004B63F0"/>
    <w:rsid w:val="004C3453"/>
    <w:rsid w:val="004D277A"/>
    <w:rsid w:val="004D6F24"/>
    <w:rsid w:val="004E0915"/>
    <w:rsid w:val="004F07EE"/>
    <w:rsid w:val="004F339A"/>
    <w:rsid w:val="004F54E1"/>
    <w:rsid w:val="005019E2"/>
    <w:rsid w:val="00530C70"/>
    <w:rsid w:val="00532348"/>
    <w:rsid w:val="005464B6"/>
    <w:rsid w:val="0055787B"/>
    <w:rsid w:val="00557DC0"/>
    <w:rsid w:val="00566B3C"/>
    <w:rsid w:val="005771A2"/>
    <w:rsid w:val="00581C6C"/>
    <w:rsid w:val="005A326F"/>
    <w:rsid w:val="005B7020"/>
    <w:rsid w:val="005C1CAE"/>
    <w:rsid w:val="005D7F49"/>
    <w:rsid w:val="005E3281"/>
    <w:rsid w:val="005F323F"/>
    <w:rsid w:val="005F3DFC"/>
    <w:rsid w:val="005F6196"/>
    <w:rsid w:val="00634F99"/>
    <w:rsid w:val="00642572"/>
    <w:rsid w:val="006536CD"/>
    <w:rsid w:val="00661112"/>
    <w:rsid w:val="00662430"/>
    <w:rsid w:val="0067010F"/>
    <w:rsid w:val="0067074F"/>
    <w:rsid w:val="006830C1"/>
    <w:rsid w:val="006B7FC2"/>
    <w:rsid w:val="006C4BA0"/>
    <w:rsid w:val="006C559F"/>
    <w:rsid w:val="006D4341"/>
    <w:rsid w:val="006D6BDE"/>
    <w:rsid w:val="006E231C"/>
    <w:rsid w:val="006E2D85"/>
    <w:rsid w:val="006F1B08"/>
    <w:rsid w:val="006F58A8"/>
    <w:rsid w:val="006F7783"/>
    <w:rsid w:val="0070234A"/>
    <w:rsid w:val="00702E43"/>
    <w:rsid w:val="0072277E"/>
    <w:rsid w:val="00731F75"/>
    <w:rsid w:val="00740054"/>
    <w:rsid w:val="00746A5F"/>
    <w:rsid w:val="0075104B"/>
    <w:rsid w:val="00753C7E"/>
    <w:rsid w:val="00765886"/>
    <w:rsid w:val="00783013"/>
    <w:rsid w:val="00793885"/>
    <w:rsid w:val="007B39A2"/>
    <w:rsid w:val="007B4114"/>
    <w:rsid w:val="007B775F"/>
    <w:rsid w:val="007C327D"/>
    <w:rsid w:val="007C7169"/>
    <w:rsid w:val="007C7CF7"/>
    <w:rsid w:val="007E735E"/>
    <w:rsid w:val="007F7913"/>
    <w:rsid w:val="0080123B"/>
    <w:rsid w:val="00807933"/>
    <w:rsid w:val="008157C9"/>
    <w:rsid w:val="00842B98"/>
    <w:rsid w:val="008714C3"/>
    <w:rsid w:val="008731EC"/>
    <w:rsid w:val="00877F4D"/>
    <w:rsid w:val="008808F6"/>
    <w:rsid w:val="008834BE"/>
    <w:rsid w:val="008A2997"/>
    <w:rsid w:val="008A4CA0"/>
    <w:rsid w:val="008A5458"/>
    <w:rsid w:val="008B5E2E"/>
    <w:rsid w:val="008B656B"/>
    <w:rsid w:val="008F01C5"/>
    <w:rsid w:val="008F663F"/>
    <w:rsid w:val="0090477C"/>
    <w:rsid w:val="0091445C"/>
    <w:rsid w:val="009221B0"/>
    <w:rsid w:val="0092427E"/>
    <w:rsid w:val="009377FB"/>
    <w:rsid w:val="0094153C"/>
    <w:rsid w:val="0094183B"/>
    <w:rsid w:val="009568C4"/>
    <w:rsid w:val="00956F6C"/>
    <w:rsid w:val="0098059F"/>
    <w:rsid w:val="00985DA4"/>
    <w:rsid w:val="00990CFC"/>
    <w:rsid w:val="009925FA"/>
    <w:rsid w:val="00996605"/>
    <w:rsid w:val="009C2E34"/>
    <w:rsid w:val="009C3E11"/>
    <w:rsid w:val="009C53D5"/>
    <w:rsid w:val="009D21A9"/>
    <w:rsid w:val="009D7F00"/>
    <w:rsid w:val="009E288B"/>
    <w:rsid w:val="00A05E9D"/>
    <w:rsid w:val="00A43CF5"/>
    <w:rsid w:val="00A81752"/>
    <w:rsid w:val="00A83607"/>
    <w:rsid w:val="00A84733"/>
    <w:rsid w:val="00A8788C"/>
    <w:rsid w:val="00A952A7"/>
    <w:rsid w:val="00AA035C"/>
    <w:rsid w:val="00AA0E08"/>
    <w:rsid w:val="00AB78A1"/>
    <w:rsid w:val="00AE291E"/>
    <w:rsid w:val="00B00556"/>
    <w:rsid w:val="00B1305E"/>
    <w:rsid w:val="00B14528"/>
    <w:rsid w:val="00B2308C"/>
    <w:rsid w:val="00B45354"/>
    <w:rsid w:val="00B60865"/>
    <w:rsid w:val="00B71B48"/>
    <w:rsid w:val="00B727EE"/>
    <w:rsid w:val="00B84A9E"/>
    <w:rsid w:val="00BB278B"/>
    <w:rsid w:val="00BB3895"/>
    <w:rsid w:val="00BC26F9"/>
    <w:rsid w:val="00BD1099"/>
    <w:rsid w:val="00BD12A9"/>
    <w:rsid w:val="00BF019F"/>
    <w:rsid w:val="00C10467"/>
    <w:rsid w:val="00C11B3E"/>
    <w:rsid w:val="00C15F7C"/>
    <w:rsid w:val="00C2058E"/>
    <w:rsid w:val="00C21231"/>
    <w:rsid w:val="00C228C5"/>
    <w:rsid w:val="00C2498A"/>
    <w:rsid w:val="00C71537"/>
    <w:rsid w:val="00C74C50"/>
    <w:rsid w:val="00C81309"/>
    <w:rsid w:val="00C83CE7"/>
    <w:rsid w:val="00C955D5"/>
    <w:rsid w:val="00CB065F"/>
    <w:rsid w:val="00CB297B"/>
    <w:rsid w:val="00CD12DB"/>
    <w:rsid w:val="00CD6A04"/>
    <w:rsid w:val="00CD6E53"/>
    <w:rsid w:val="00CF69B3"/>
    <w:rsid w:val="00D0112B"/>
    <w:rsid w:val="00D25527"/>
    <w:rsid w:val="00D477BF"/>
    <w:rsid w:val="00D656FA"/>
    <w:rsid w:val="00D70F98"/>
    <w:rsid w:val="00D83E1F"/>
    <w:rsid w:val="00D91C78"/>
    <w:rsid w:val="00D9256B"/>
    <w:rsid w:val="00D9518A"/>
    <w:rsid w:val="00DB65A5"/>
    <w:rsid w:val="00DB66AF"/>
    <w:rsid w:val="00DC0840"/>
    <w:rsid w:val="00DC27C9"/>
    <w:rsid w:val="00DC464B"/>
    <w:rsid w:val="00DC56C0"/>
    <w:rsid w:val="00DC6C6B"/>
    <w:rsid w:val="00DC77A2"/>
    <w:rsid w:val="00DD02EE"/>
    <w:rsid w:val="00DD1C93"/>
    <w:rsid w:val="00DE5AB8"/>
    <w:rsid w:val="00DF5538"/>
    <w:rsid w:val="00E14DB0"/>
    <w:rsid w:val="00E20C0A"/>
    <w:rsid w:val="00E346BF"/>
    <w:rsid w:val="00E350F6"/>
    <w:rsid w:val="00E54CED"/>
    <w:rsid w:val="00E56A7E"/>
    <w:rsid w:val="00E82282"/>
    <w:rsid w:val="00E90C43"/>
    <w:rsid w:val="00E96BAE"/>
    <w:rsid w:val="00EA54E7"/>
    <w:rsid w:val="00EB310C"/>
    <w:rsid w:val="00EC30F8"/>
    <w:rsid w:val="00EE79D3"/>
    <w:rsid w:val="00EF4967"/>
    <w:rsid w:val="00EF509E"/>
    <w:rsid w:val="00EF666B"/>
    <w:rsid w:val="00F01D62"/>
    <w:rsid w:val="00F16FB6"/>
    <w:rsid w:val="00F23368"/>
    <w:rsid w:val="00F23942"/>
    <w:rsid w:val="00F23F07"/>
    <w:rsid w:val="00F27781"/>
    <w:rsid w:val="00F31574"/>
    <w:rsid w:val="00F359D8"/>
    <w:rsid w:val="00F36346"/>
    <w:rsid w:val="00F37AD5"/>
    <w:rsid w:val="00F5786F"/>
    <w:rsid w:val="00F62FF8"/>
    <w:rsid w:val="00F85016"/>
    <w:rsid w:val="00F85556"/>
    <w:rsid w:val="00F87A6F"/>
    <w:rsid w:val="00F964C1"/>
    <w:rsid w:val="00FA0545"/>
    <w:rsid w:val="00FB0EF2"/>
    <w:rsid w:val="00FB6DA5"/>
    <w:rsid w:val="00FF09E2"/>
    <w:rsid w:val="00FF5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8C988"/>
  <w15:docId w15:val="{B58E19E3-B53E-4C47-9617-DE9F7E50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D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AE2"/>
    <w:pPr>
      <w:ind w:left="720"/>
      <w:contextualSpacing/>
    </w:pPr>
  </w:style>
  <w:style w:type="paragraph" w:styleId="Header">
    <w:name w:val="header"/>
    <w:basedOn w:val="Normal"/>
    <w:link w:val="HeaderChar"/>
    <w:uiPriority w:val="99"/>
    <w:unhideWhenUsed/>
    <w:rsid w:val="0098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A4"/>
  </w:style>
  <w:style w:type="paragraph" w:styleId="Footer">
    <w:name w:val="footer"/>
    <w:basedOn w:val="Normal"/>
    <w:link w:val="FooterChar"/>
    <w:uiPriority w:val="99"/>
    <w:unhideWhenUsed/>
    <w:rsid w:val="0098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A4"/>
  </w:style>
  <w:style w:type="paragraph" w:styleId="BalloonText">
    <w:name w:val="Balloon Text"/>
    <w:basedOn w:val="Normal"/>
    <w:link w:val="BalloonTextChar"/>
    <w:uiPriority w:val="99"/>
    <w:semiHidden/>
    <w:unhideWhenUsed/>
    <w:rsid w:val="002376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643"/>
    <w:rPr>
      <w:sz w:val="18"/>
      <w:szCs w:val="18"/>
    </w:rPr>
  </w:style>
  <w:style w:type="paragraph" w:styleId="CommentText">
    <w:name w:val="annotation text"/>
    <w:basedOn w:val="Normal"/>
    <w:link w:val="CommentTextChar"/>
    <w:uiPriority w:val="99"/>
    <w:semiHidden/>
    <w:unhideWhenUsed/>
    <w:rsid w:val="00237643"/>
    <w:pPr>
      <w:spacing w:line="240" w:lineRule="auto"/>
    </w:pPr>
    <w:rPr>
      <w:sz w:val="24"/>
      <w:szCs w:val="24"/>
    </w:rPr>
  </w:style>
  <w:style w:type="character" w:customStyle="1" w:styleId="CommentTextChar">
    <w:name w:val="Comment Text Char"/>
    <w:basedOn w:val="DefaultParagraphFont"/>
    <w:link w:val="CommentText"/>
    <w:uiPriority w:val="99"/>
    <w:semiHidden/>
    <w:rsid w:val="00237643"/>
    <w:rPr>
      <w:sz w:val="24"/>
      <w:szCs w:val="24"/>
    </w:rPr>
  </w:style>
  <w:style w:type="paragraph" w:styleId="CommentSubject">
    <w:name w:val="annotation subject"/>
    <w:basedOn w:val="CommentText"/>
    <w:next w:val="CommentText"/>
    <w:link w:val="CommentSubjectChar"/>
    <w:uiPriority w:val="99"/>
    <w:semiHidden/>
    <w:unhideWhenUsed/>
    <w:rsid w:val="00237643"/>
    <w:rPr>
      <w:b/>
      <w:bCs/>
      <w:sz w:val="20"/>
      <w:szCs w:val="20"/>
    </w:rPr>
  </w:style>
  <w:style w:type="character" w:customStyle="1" w:styleId="CommentSubjectChar">
    <w:name w:val="Comment Subject Char"/>
    <w:basedOn w:val="CommentTextChar"/>
    <w:link w:val="CommentSubject"/>
    <w:uiPriority w:val="99"/>
    <w:semiHidden/>
    <w:rsid w:val="00237643"/>
    <w:rPr>
      <w:b/>
      <w:bCs/>
      <w:sz w:val="20"/>
      <w:szCs w:val="20"/>
    </w:rPr>
  </w:style>
  <w:style w:type="paragraph" w:styleId="Revision">
    <w:name w:val="Revision"/>
    <w:hidden/>
    <w:uiPriority w:val="99"/>
    <w:semiHidden/>
    <w:rsid w:val="00AA035C"/>
    <w:pPr>
      <w:spacing w:after="0" w:line="240" w:lineRule="auto"/>
    </w:pPr>
  </w:style>
  <w:style w:type="character" w:styleId="Hyperlink">
    <w:name w:val="Hyperlink"/>
    <w:basedOn w:val="DefaultParagraphFont"/>
    <w:uiPriority w:val="99"/>
    <w:unhideWhenUsed/>
    <w:rsid w:val="00661112"/>
    <w:rPr>
      <w:color w:val="0563C1" w:themeColor="hyperlink"/>
      <w:u w:val="single"/>
    </w:rPr>
  </w:style>
  <w:style w:type="character" w:customStyle="1" w:styleId="Heading1Char">
    <w:name w:val="Heading 1 Char"/>
    <w:basedOn w:val="DefaultParagraphFont"/>
    <w:link w:val="Heading1"/>
    <w:uiPriority w:val="9"/>
    <w:rsid w:val="008A299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A29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99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A2997"/>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A29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03413">
      <w:bodyDiv w:val="1"/>
      <w:marLeft w:val="0"/>
      <w:marRight w:val="0"/>
      <w:marTop w:val="0"/>
      <w:marBottom w:val="0"/>
      <w:divBdr>
        <w:top w:val="none" w:sz="0" w:space="0" w:color="auto"/>
        <w:left w:val="none" w:sz="0" w:space="0" w:color="auto"/>
        <w:bottom w:val="none" w:sz="0" w:space="0" w:color="auto"/>
        <w:right w:val="none" w:sz="0" w:space="0" w:color="auto"/>
      </w:divBdr>
    </w:div>
    <w:div w:id="943927155">
      <w:bodyDiv w:val="1"/>
      <w:marLeft w:val="0"/>
      <w:marRight w:val="0"/>
      <w:marTop w:val="0"/>
      <w:marBottom w:val="0"/>
      <w:divBdr>
        <w:top w:val="none" w:sz="0" w:space="0" w:color="auto"/>
        <w:left w:val="none" w:sz="0" w:space="0" w:color="auto"/>
        <w:bottom w:val="none" w:sz="0" w:space="0" w:color="auto"/>
        <w:right w:val="none" w:sz="0" w:space="0" w:color="auto"/>
      </w:divBdr>
    </w:div>
    <w:div w:id="20105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ff.admin.ox.ac.uk/article/professor-david-mant-covid-19-early-alert-service-ea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Mant</dc:creator>
  <cp:keywords/>
  <dc:description/>
  <cp:lastModifiedBy>Elizabeth McCarthy</cp:lastModifiedBy>
  <cp:revision>5</cp:revision>
  <dcterms:created xsi:type="dcterms:W3CDTF">2021-01-18T15:56:00Z</dcterms:created>
  <dcterms:modified xsi:type="dcterms:W3CDTF">2021-01-18T16:01:00Z</dcterms:modified>
</cp:coreProperties>
</file>